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27" w:rsidRPr="00531CC4" w:rsidRDefault="00CE5427">
      <w:pPr>
        <w:rPr>
          <w:sz w:val="24"/>
          <w:szCs w:val="24"/>
        </w:rPr>
      </w:pPr>
    </w:p>
    <w:tbl>
      <w:tblPr>
        <w:tblW w:w="0" w:type="auto"/>
        <w:tblLook w:val="01E0" w:firstRow="1" w:lastRow="1" w:firstColumn="1" w:lastColumn="1" w:noHBand="0" w:noVBand="0"/>
      </w:tblPr>
      <w:tblGrid>
        <w:gridCol w:w="9012"/>
        <w:gridCol w:w="14"/>
      </w:tblGrid>
      <w:tr w:rsidR="00CE5427" w:rsidRPr="00656AD3" w:rsidTr="00916E63">
        <w:trPr>
          <w:gridAfter w:val="1"/>
          <w:wAfter w:w="14" w:type="dxa"/>
          <w:trHeight w:val="1674"/>
        </w:trPr>
        <w:tc>
          <w:tcPr>
            <w:tcW w:w="9228" w:type="dxa"/>
            <w:shd w:val="clear" w:color="auto" w:fill="auto"/>
          </w:tcPr>
          <w:p w:rsidR="00CE5427" w:rsidRPr="00E52D60" w:rsidRDefault="00CE5427" w:rsidP="00916E63">
            <w:pPr>
              <w:jc w:val="center"/>
              <w:rPr>
                <w:rFonts w:ascii="Arial Black" w:hAnsi="Arial Black"/>
                <w:sz w:val="24"/>
                <w:szCs w:val="24"/>
              </w:rPr>
            </w:pPr>
            <w:r w:rsidRPr="00E52D60">
              <w:rPr>
                <w:rFonts w:ascii="Arial Black" w:hAnsi="Arial Black"/>
                <w:sz w:val="24"/>
                <w:szCs w:val="24"/>
              </w:rPr>
              <w:t>R</w:t>
            </w:r>
            <w:r w:rsidR="00484107" w:rsidRPr="00E52D60">
              <w:rPr>
                <w:rFonts w:ascii="Arial Black" w:hAnsi="Arial Black"/>
                <w:sz w:val="24"/>
                <w:szCs w:val="24"/>
              </w:rPr>
              <w:t xml:space="preserve">eport of </w:t>
            </w:r>
            <w:r w:rsidR="0016096C" w:rsidRPr="00E52D60">
              <w:rPr>
                <w:rFonts w:ascii="Arial Black" w:hAnsi="Arial Black"/>
                <w:sz w:val="24"/>
                <w:szCs w:val="24"/>
              </w:rPr>
              <w:t xml:space="preserve">the </w:t>
            </w:r>
            <w:r w:rsidR="00E52D60" w:rsidRPr="00E52D60">
              <w:rPr>
                <w:rFonts w:ascii="Arial Black" w:hAnsi="Arial Black"/>
                <w:sz w:val="24"/>
                <w:szCs w:val="24"/>
              </w:rPr>
              <w:t>Portfolio Holder for Corporate and Finance</w:t>
            </w:r>
          </w:p>
          <w:p w:rsidR="00CE5427" w:rsidRPr="00E52D60" w:rsidRDefault="00CE5427" w:rsidP="00916E63">
            <w:pPr>
              <w:jc w:val="center"/>
              <w:rPr>
                <w:rFonts w:ascii="Arial Black" w:hAnsi="Arial Black"/>
                <w:sz w:val="24"/>
                <w:szCs w:val="24"/>
              </w:rPr>
            </w:pPr>
            <w:r w:rsidRPr="00E52D60">
              <w:rPr>
                <w:rFonts w:ascii="Arial Black" w:hAnsi="Arial Black"/>
                <w:sz w:val="24"/>
                <w:szCs w:val="24"/>
              </w:rPr>
              <w:t>To</w:t>
            </w:r>
          </w:p>
          <w:p w:rsidR="00CE5427" w:rsidRPr="00656AD3" w:rsidRDefault="00B8719C" w:rsidP="00916E63">
            <w:pPr>
              <w:jc w:val="center"/>
              <w:rPr>
                <w:rFonts w:ascii="Arial Black" w:hAnsi="Arial Black"/>
                <w:sz w:val="24"/>
                <w:szCs w:val="24"/>
              </w:rPr>
            </w:pPr>
            <w:r>
              <w:rPr>
                <w:rFonts w:ascii="Arial Black" w:hAnsi="Arial Black"/>
                <w:sz w:val="24"/>
                <w:szCs w:val="24"/>
              </w:rPr>
              <w:t>Cabinet</w:t>
            </w:r>
          </w:p>
          <w:p w:rsidR="00CE5427" w:rsidRPr="00656AD3" w:rsidRDefault="00CE5427" w:rsidP="00916E63">
            <w:pPr>
              <w:jc w:val="center"/>
              <w:rPr>
                <w:rFonts w:ascii="Arial Black" w:hAnsi="Arial Black"/>
                <w:sz w:val="24"/>
                <w:szCs w:val="24"/>
              </w:rPr>
            </w:pPr>
            <w:r w:rsidRPr="00656AD3">
              <w:rPr>
                <w:rFonts w:ascii="Arial Black" w:hAnsi="Arial Black" w:cs="Arial"/>
                <w:sz w:val="24"/>
                <w:szCs w:val="24"/>
              </w:rPr>
              <w:t>On</w:t>
            </w:r>
          </w:p>
          <w:p w:rsidR="00CE5427" w:rsidRPr="00656AD3" w:rsidRDefault="00CE21B1" w:rsidP="00CE21B1">
            <w:pPr>
              <w:jc w:val="center"/>
              <w:rPr>
                <w:rFonts w:ascii="Arial Black" w:hAnsi="Arial Black"/>
                <w:sz w:val="24"/>
                <w:szCs w:val="24"/>
              </w:rPr>
            </w:pPr>
            <w:r>
              <w:rPr>
                <w:rFonts w:ascii="Arial Black" w:hAnsi="Arial Black"/>
                <w:sz w:val="24"/>
                <w:szCs w:val="24"/>
              </w:rPr>
              <w:t>16 January</w:t>
            </w:r>
            <w:r w:rsidR="002008B6" w:rsidRPr="00DC74D5">
              <w:rPr>
                <w:rFonts w:ascii="Arial Black" w:hAnsi="Arial Black"/>
                <w:sz w:val="24"/>
                <w:szCs w:val="24"/>
              </w:rPr>
              <w:t xml:space="preserve"> 202</w:t>
            </w:r>
            <w:r>
              <w:rPr>
                <w:rFonts w:ascii="Arial Black" w:hAnsi="Arial Black"/>
                <w:sz w:val="24"/>
                <w:szCs w:val="24"/>
              </w:rPr>
              <w:t>3</w:t>
            </w:r>
          </w:p>
        </w:tc>
      </w:tr>
      <w:tr w:rsidR="00CE5427" w:rsidRPr="00656AD3" w:rsidTr="00916E63">
        <w:trPr>
          <w:gridAfter w:val="1"/>
          <w:wAfter w:w="14" w:type="dxa"/>
        </w:trPr>
        <w:tc>
          <w:tcPr>
            <w:tcW w:w="9228" w:type="dxa"/>
            <w:shd w:val="clear" w:color="auto" w:fill="auto"/>
          </w:tcPr>
          <w:p w:rsidR="00CE5427" w:rsidRPr="00656AD3" w:rsidRDefault="00CE5427" w:rsidP="00916E63">
            <w:pPr>
              <w:jc w:val="center"/>
              <w:rPr>
                <w:rFonts w:ascii="Arial Black" w:hAnsi="Arial Black"/>
                <w:sz w:val="24"/>
                <w:szCs w:val="24"/>
              </w:rPr>
            </w:pPr>
          </w:p>
        </w:tc>
      </w:tr>
      <w:tr w:rsidR="00CE5427" w:rsidRPr="00656AD3" w:rsidTr="00916E63">
        <w:tc>
          <w:tcPr>
            <w:tcW w:w="9242" w:type="dxa"/>
            <w:gridSpan w:val="2"/>
            <w:tcBorders>
              <w:top w:val="single" w:sz="24" w:space="0" w:color="auto"/>
              <w:bottom w:val="single" w:sz="24" w:space="0" w:color="auto"/>
            </w:tcBorders>
            <w:shd w:val="clear" w:color="auto" w:fill="auto"/>
          </w:tcPr>
          <w:p w:rsidR="00CE5427" w:rsidRPr="00656AD3" w:rsidRDefault="00C07013" w:rsidP="00882025">
            <w:pPr>
              <w:spacing w:before="240" w:after="240"/>
              <w:jc w:val="center"/>
              <w:rPr>
                <w:rFonts w:cs="Arial"/>
                <w:b/>
                <w:sz w:val="24"/>
                <w:szCs w:val="24"/>
              </w:rPr>
            </w:pPr>
            <w:r>
              <w:rPr>
                <w:rFonts w:cs="Arial"/>
                <w:b/>
                <w:sz w:val="24"/>
                <w:szCs w:val="24"/>
              </w:rPr>
              <w:t>MEDIUM TERM FINANCIAL PLAN</w:t>
            </w:r>
            <w:r w:rsidR="00442A0B">
              <w:rPr>
                <w:rFonts w:cs="Arial"/>
                <w:b/>
                <w:sz w:val="24"/>
                <w:szCs w:val="24"/>
              </w:rPr>
              <w:t xml:space="preserve"> 202</w:t>
            </w:r>
            <w:r w:rsidR="00882025">
              <w:rPr>
                <w:rFonts w:cs="Arial"/>
                <w:b/>
                <w:sz w:val="24"/>
                <w:szCs w:val="24"/>
              </w:rPr>
              <w:t>3/24</w:t>
            </w:r>
            <w:r w:rsidR="00442A0B">
              <w:rPr>
                <w:rFonts w:cs="Arial"/>
                <w:b/>
                <w:sz w:val="24"/>
                <w:szCs w:val="24"/>
              </w:rPr>
              <w:t xml:space="preserve"> TO </w:t>
            </w:r>
            <w:r w:rsidR="00882025">
              <w:rPr>
                <w:rFonts w:cs="Arial"/>
                <w:b/>
                <w:sz w:val="24"/>
                <w:szCs w:val="24"/>
              </w:rPr>
              <w:t>2025</w:t>
            </w:r>
            <w:r w:rsidR="00442A0B">
              <w:rPr>
                <w:rFonts w:cs="Arial"/>
                <w:b/>
                <w:sz w:val="24"/>
                <w:szCs w:val="24"/>
              </w:rPr>
              <w:t>/2</w:t>
            </w:r>
            <w:r w:rsidR="00882025">
              <w:rPr>
                <w:rFonts w:cs="Arial"/>
                <w:b/>
                <w:sz w:val="24"/>
                <w:szCs w:val="24"/>
              </w:rPr>
              <w:t>6</w:t>
            </w:r>
          </w:p>
        </w:tc>
      </w:tr>
    </w:tbl>
    <w:p w:rsidR="008518DD" w:rsidRPr="00656AD3" w:rsidRDefault="008518DD" w:rsidP="00352363">
      <w:pPr>
        <w:ind w:hanging="720"/>
        <w:rPr>
          <w:rFonts w:cs="Arial"/>
          <w:sz w:val="24"/>
          <w:szCs w:val="24"/>
        </w:rPr>
      </w:pPr>
    </w:p>
    <w:p w:rsidR="00545280" w:rsidRPr="00656AD3" w:rsidRDefault="00545280" w:rsidP="00352363">
      <w:pPr>
        <w:ind w:hanging="720"/>
        <w:rPr>
          <w:rFonts w:cs="Arial"/>
          <w:sz w:val="24"/>
          <w:szCs w:val="24"/>
        </w:rPr>
      </w:pPr>
    </w:p>
    <w:p w:rsidR="00545280" w:rsidRPr="00656AD3" w:rsidRDefault="00545280" w:rsidP="00394E10">
      <w:pPr>
        <w:ind w:left="851" w:hanging="851"/>
        <w:jc w:val="left"/>
        <w:outlineLvl w:val="0"/>
        <w:rPr>
          <w:sz w:val="24"/>
          <w:szCs w:val="24"/>
        </w:rPr>
      </w:pPr>
      <w:r w:rsidRPr="00656AD3">
        <w:rPr>
          <w:b/>
          <w:sz w:val="24"/>
          <w:szCs w:val="24"/>
        </w:rPr>
        <w:t>1.</w:t>
      </w:r>
      <w:r w:rsidRPr="00656AD3">
        <w:rPr>
          <w:b/>
          <w:sz w:val="24"/>
          <w:szCs w:val="24"/>
        </w:rPr>
        <w:tab/>
        <w:t>SUMMARY</w:t>
      </w:r>
    </w:p>
    <w:p w:rsidR="00545280" w:rsidRPr="00656AD3" w:rsidRDefault="00545280" w:rsidP="00394E10">
      <w:pPr>
        <w:ind w:left="851" w:hanging="851"/>
        <w:jc w:val="left"/>
        <w:rPr>
          <w:sz w:val="24"/>
          <w:szCs w:val="24"/>
        </w:rPr>
      </w:pPr>
    </w:p>
    <w:p w:rsidR="00545280" w:rsidRPr="00656AD3" w:rsidRDefault="00545280" w:rsidP="00394E10">
      <w:pPr>
        <w:ind w:left="851" w:hanging="851"/>
        <w:jc w:val="left"/>
        <w:rPr>
          <w:sz w:val="24"/>
          <w:szCs w:val="24"/>
        </w:rPr>
      </w:pPr>
      <w:r w:rsidRPr="00656AD3">
        <w:rPr>
          <w:sz w:val="24"/>
          <w:szCs w:val="24"/>
        </w:rPr>
        <w:t>1.1</w:t>
      </w:r>
      <w:r w:rsidRPr="00656AD3">
        <w:rPr>
          <w:sz w:val="24"/>
          <w:szCs w:val="24"/>
        </w:rPr>
        <w:tab/>
        <w:t xml:space="preserve">This report brings together the proposals for the Council’s General Fund and Housing </w:t>
      </w:r>
      <w:r w:rsidRPr="00F37783">
        <w:rPr>
          <w:sz w:val="24"/>
          <w:szCs w:val="24"/>
        </w:rPr>
        <w:t>Revenue Account</w:t>
      </w:r>
      <w:r w:rsidR="00D07702" w:rsidRPr="00F37783">
        <w:rPr>
          <w:sz w:val="24"/>
          <w:szCs w:val="24"/>
        </w:rPr>
        <w:t xml:space="preserve"> (HRA)</w:t>
      </w:r>
      <w:r w:rsidRPr="00F37783">
        <w:rPr>
          <w:sz w:val="24"/>
          <w:szCs w:val="24"/>
        </w:rPr>
        <w:t xml:space="preserve"> revenue </w:t>
      </w:r>
      <w:r w:rsidR="00EA41D9" w:rsidRPr="00F37783">
        <w:rPr>
          <w:sz w:val="24"/>
          <w:szCs w:val="24"/>
        </w:rPr>
        <w:t xml:space="preserve">and capital </w:t>
      </w:r>
      <w:r w:rsidRPr="00F37783">
        <w:rPr>
          <w:sz w:val="24"/>
          <w:szCs w:val="24"/>
        </w:rPr>
        <w:t xml:space="preserve">budgets which will be considered by Council on </w:t>
      </w:r>
      <w:r w:rsidR="00595BD2">
        <w:rPr>
          <w:sz w:val="24"/>
          <w:szCs w:val="24"/>
        </w:rPr>
        <w:t xml:space="preserve">24 January 2023 </w:t>
      </w:r>
      <w:r w:rsidRPr="00F37783">
        <w:rPr>
          <w:sz w:val="24"/>
          <w:szCs w:val="24"/>
        </w:rPr>
        <w:t>for the</w:t>
      </w:r>
      <w:r w:rsidRPr="00656AD3">
        <w:rPr>
          <w:sz w:val="24"/>
          <w:szCs w:val="24"/>
        </w:rPr>
        <w:t xml:space="preserve"> financial years </w:t>
      </w:r>
      <w:r w:rsidR="00737CBD">
        <w:rPr>
          <w:sz w:val="24"/>
          <w:szCs w:val="24"/>
        </w:rPr>
        <w:t>202</w:t>
      </w:r>
      <w:r w:rsidR="00595BD2">
        <w:rPr>
          <w:sz w:val="24"/>
          <w:szCs w:val="24"/>
        </w:rPr>
        <w:t>3</w:t>
      </w:r>
      <w:r w:rsidR="00737CBD">
        <w:rPr>
          <w:sz w:val="24"/>
          <w:szCs w:val="24"/>
        </w:rPr>
        <w:t>/2</w:t>
      </w:r>
      <w:r w:rsidR="00595BD2">
        <w:rPr>
          <w:sz w:val="24"/>
          <w:szCs w:val="24"/>
        </w:rPr>
        <w:t>4</w:t>
      </w:r>
      <w:r w:rsidR="00737CBD">
        <w:rPr>
          <w:sz w:val="24"/>
          <w:szCs w:val="24"/>
        </w:rPr>
        <w:t xml:space="preserve"> to 202</w:t>
      </w:r>
      <w:r w:rsidR="00595BD2">
        <w:rPr>
          <w:sz w:val="24"/>
          <w:szCs w:val="24"/>
        </w:rPr>
        <w:t>5</w:t>
      </w:r>
      <w:r w:rsidR="00737CBD">
        <w:rPr>
          <w:sz w:val="24"/>
          <w:szCs w:val="24"/>
        </w:rPr>
        <w:t>/2</w:t>
      </w:r>
      <w:r w:rsidR="00595BD2">
        <w:rPr>
          <w:sz w:val="24"/>
          <w:szCs w:val="24"/>
        </w:rPr>
        <w:t>6</w:t>
      </w:r>
      <w:r w:rsidR="00F5453F">
        <w:rPr>
          <w:sz w:val="24"/>
          <w:szCs w:val="24"/>
        </w:rPr>
        <w:t>,</w:t>
      </w:r>
      <w:r w:rsidRPr="00656AD3">
        <w:rPr>
          <w:sz w:val="24"/>
          <w:szCs w:val="24"/>
        </w:rPr>
        <w:t xml:space="preserve"> following a period of consultation. </w:t>
      </w:r>
    </w:p>
    <w:p w:rsidR="00545280" w:rsidRPr="00656AD3" w:rsidRDefault="00545280" w:rsidP="00394E10">
      <w:pPr>
        <w:ind w:left="851" w:hanging="851"/>
        <w:jc w:val="left"/>
        <w:rPr>
          <w:sz w:val="24"/>
          <w:szCs w:val="24"/>
        </w:rPr>
      </w:pPr>
    </w:p>
    <w:p w:rsidR="00545280" w:rsidRPr="00656AD3" w:rsidRDefault="00545280" w:rsidP="00545280">
      <w:pPr>
        <w:ind w:left="720" w:hanging="720"/>
        <w:jc w:val="left"/>
        <w:rPr>
          <w:sz w:val="24"/>
          <w:szCs w:val="24"/>
        </w:rPr>
      </w:pPr>
      <w:r w:rsidRPr="00656AD3">
        <w:rPr>
          <w:b/>
          <w:sz w:val="24"/>
          <w:szCs w:val="24"/>
        </w:rPr>
        <w:t xml:space="preserve">Key Decision – </w:t>
      </w:r>
      <w:r w:rsidR="00AD15D9" w:rsidRPr="00656AD3">
        <w:rPr>
          <w:sz w:val="24"/>
          <w:szCs w:val="24"/>
        </w:rPr>
        <w:t>No</w:t>
      </w:r>
    </w:p>
    <w:p w:rsidR="00545280" w:rsidRDefault="00545280" w:rsidP="00545280">
      <w:pPr>
        <w:jc w:val="left"/>
        <w:rPr>
          <w:sz w:val="24"/>
          <w:szCs w:val="24"/>
        </w:rPr>
      </w:pPr>
    </w:p>
    <w:p w:rsidR="00116979" w:rsidRPr="00656AD3" w:rsidRDefault="00116979" w:rsidP="00545280">
      <w:pPr>
        <w:jc w:val="left"/>
        <w:rPr>
          <w:sz w:val="24"/>
          <w:szCs w:val="24"/>
        </w:rPr>
      </w:pPr>
    </w:p>
    <w:p w:rsidR="00D00F9E" w:rsidRDefault="00D00F9E" w:rsidP="00D00F9E">
      <w:pPr>
        <w:jc w:val="left"/>
        <w:outlineLvl w:val="0"/>
        <w:rPr>
          <w:b/>
          <w:sz w:val="24"/>
          <w:szCs w:val="24"/>
        </w:rPr>
      </w:pPr>
      <w:r w:rsidRPr="00641730">
        <w:rPr>
          <w:b/>
          <w:sz w:val="24"/>
          <w:szCs w:val="24"/>
        </w:rPr>
        <w:t>2.</w:t>
      </w:r>
      <w:r w:rsidRPr="00641730">
        <w:rPr>
          <w:b/>
          <w:sz w:val="24"/>
          <w:szCs w:val="24"/>
        </w:rPr>
        <w:tab/>
        <w:t>RECOMMENDATIONS</w:t>
      </w:r>
    </w:p>
    <w:p w:rsidR="00D00F9E" w:rsidRDefault="00D00F9E" w:rsidP="00D00F9E">
      <w:pPr>
        <w:jc w:val="left"/>
        <w:outlineLvl w:val="0"/>
        <w:rPr>
          <w:b/>
          <w:sz w:val="24"/>
          <w:szCs w:val="24"/>
        </w:rPr>
      </w:pPr>
    </w:p>
    <w:p w:rsidR="00D00F9E" w:rsidRPr="00656AD3" w:rsidRDefault="00D00F9E" w:rsidP="00D00F9E">
      <w:pPr>
        <w:ind w:left="709" w:hanging="142"/>
        <w:jc w:val="left"/>
        <w:outlineLvl w:val="0"/>
        <w:rPr>
          <w:b/>
          <w:sz w:val="24"/>
          <w:szCs w:val="24"/>
        </w:rPr>
      </w:pPr>
      <w:r>
        <w:rPr>
          <w:b/>
          <w:sz w:val="24"/>
          <w:szCs w:val="24"/>
        </w:rPr>
        <w:tab/>
        <w:t>That Cabinet recommend to Council:</w:t>
      </w:r>
    </w:p>
    <w:p w:rsidR="00D00F9E" w:rsidRPr="00641730" w:rsidRDefault="00D00F9E" w:rsidP="00D00F9E">
      <w:pPr>
        <w:ind w:left="851"/>
        <w:jc w:val="left"/>
        <w:rPr>
          <w:sz w:val="24"/>
          <w:szCs w:val="24"/>
        </w:rPr>
      </w:pPr>
    </w:p>
    <w:p w:rsidR="00D00F9E" w:rsidRPr="00641730" w:rsidRDefault="00D00F9E" w:rsidP="00D00F9E">
      <w:pPr>
        <w:ind w:left="1134" w:hanging="567"/>
        <w:rPr>
          <w:sz w:val="24"/>
          <w:szCs w:val="24"/>
        </w:rPr>
      </w:pPr>
      <w:r w:rsidRPr="00641730">
        <w:rPr>
          <w:sz w:val="24"/>
          <w:szCs w:val="24"/>
        </w:rPr>
        <w:t xml:space="preserve"> (</w:t>
      </w:r>
      <w:proofErr w:type="spellStart"/>
      <w:r w:rsidRPr="00641730">
        <w:rPr>
          <w:sz w:val="24"/>
          <w:szCs w:val="24"/>
        </w:rPr>
        <w:t>i</w:t>
      </w:r>
      <w:proofErr w:type="spellEnd"/>
      <w:r w:rsidRPr="00641730">
        <w:rPr>
          <w:sz w:val="24"/>
          <w:szCs w:val="24"/>
        </w:rPr>
        <w:t>)</w:t>
      </w:r>
      <w:r w:rsidRPr="00641730">
        <w:rPr>
          <w:sz w:val="24"/>
          <w:szCs w:val="24"/>
        </w:rPr>
        <w:tab/>
        <w:t>That the General Fund revenue budget for 202</w:t>
      </w:r>
      <w:r>
        <w:rPr>
          <w:sz w:val="24"/>
          <w:szCs w:val="24"/>
        </w:rPr>
        <w:t>3</w:t>
      </w:r>
      <w:r w:rsidRPr="00641730">
        <w:rPr>
          <w:sz w:val="24"/>
          <w:szCs w:val="24"/>
        </w:rPr>
        <w:t>/2</w:t>
      </w:r>
      <w:r>
        <w:rPr>
          <w:sz w:val="24"/>
          <w:szCs w:val="24"/>
        </w:rPr>
        <w:t>4</w:t>
      </w:r>
      <w:r w:rsidRPr="00641730">
        <w:rPr>
          <w:sz w:val="24"/>
          <w:szCs w:val="24"/>
        </w:rPr>
        <w:t xml:space="preserve"> financial year be approved as set out in Appendix 1.</w:t>
      </w:r>
    </w:p>
    <w:p w:rsidR="00D00F9E" w:rsidRPr="00641730" w:rsidRDefault="00D00F9E" w:rsidP="00D00F9E">
      <w:pPr>
        <w:ind w:left="1134" w:hanging="567"/>
        <w:jc w:val="left"/>
        <w:rPr>
          <w:sz w:val="24"/>
          <w:szCs w:val="24"/>
        </w:rPr>
      </w:pPr>
    </w:p>
    <w:p w:rsidR="00D00F9E" w:rsidRPr="00641730" w:rsidRDefault="00D00F9E" w:rsidP="00D00F9E">
      <w:pPr>
        <w:ind w:left="1134" w:hanging="567"/>
        <w:jc w:val="left"/>
        <w:rPr>
          <w:sz w:val="24"/>
          <w:szCs w:val="24"/>
        </w:rPr>
      </w:pPr>
      <w:r w:rsidRPr="00641730">
        <w:rPr>
          <w:sz w:val="24"/>
          <w:szCs w:val="24"/>
        </w:rPr>
        <w:t>(ii)</w:t>
      </w:r>
      <w:r w:rsidRPr="00641730">
        <w:rPr>
          <w:sz w:val="24"/>
          <w:szCs w:val="24"/>
        </w:rPr>
        <w:tab/>
        <w:t>That the General Fund revenue budget for 202</w:t>
      </w:r>
      <w:r>
        <w:rPr>
          <w:sz w:val="24"/>
          <w:szCs w:val="24"/>
        </w:rPr>
        <w:t>4</w:t>
      </w:r>
      <w:r w:rsidRPr="00641730">
        <w:rPr>
          <w:sz w:val="24"/>
          <w:szCs w:val="24"/>
        </w:rPr>
        <w:t>/2</w:t>
      </w:r>
      <w:r>
        <w:rPr>
          <w:sz w:val="24"/>
          <w:szCs w:val="24"/>
        </w:rPr>
        <w:t>5</w:t>
      </w:r>
      <w:r w:rsidRPr="00641730">
        <w:rPr>
          <w:sz w:val="24"/>
          <w:szCs w:val="24"/>
        </w:rPr>
        <w:t xml:space="preserve"> to 202</w:t>
      </w:r>
      <w:r>
        <w:rPr>
          <w:sz w:val="24"/>
          <w:szCs w:val="24"/>
        </w:rPr>
        <w:t>5</w:t>
      </w:r>
      <w:r w:rsidRPr="00641730">
        <w:rPr>
          <w:sz w:val="24"/>
          <w:szCs w:val="24"/>
        </w:rPr>
        <w:t>/2</w:t>
      </w:r>
      <w:r>
        <w:rPr>
          <w:sz w:val="24"/>
          <w:szCs w:val="24"/>
        </w:rPr>
        <w:t>6</w:t>
      </w:r>
      <w:r w:rsidRPr="00641730">
        <w:rPr>
          <w:sz w:val="24"/>
          <w:szCs w:val="24"/>
        </w:rPr>
        <w:t xml:space="preserve"> financial year be approved in principle, subject to an annual review, as set out in Appendix 1.</w:t>
      </w:r>
    </w:p>
    <w:p w:rsidR="00D00F9E" w:rsidRPr="00641730" w:rsidRDefault="00D00F9E" w:rsidP="00D00F9E">
      <w:pPr>
        <w:rPr>
          <w:sz w:val="24"/>
          <w:szCs w:val="24"/>
        </w:rPr>
      </w:pPr>
    </w:p>
    <w:p w:rsidR="00D00F9E" w:rsidRPr="00641730" w:rsidRDefault="00D00F9E" w:rsidP="00D00F9E">
      <w:pPr>
        <w:ind w:left="1134" w:hanging="567"/>
        <w:rPr>
          <w:sz w:val="24"/>
          <w:szCs w:val="24"/>
        </w:rPr>
      </w:pPr>
      <w:r w:rsidRPr="00641730">
        <w:rPr>
          <w:sz w:val="24"/>
          <w:szCs w:val="24"/>
        </w:rPr>
        <w:t>(iii)</w:t>
      </w:r>
      <w:r w:rsidRPr="00641730">
        <w:rPr>
          <w:sz w:val="24"/>
          <w:szCs w:val="24"/>
        </w:rPr>
        <w:tab/>
        <w:t>That the Housing Revenue Account (HRA) revenue budget for 202</w:t>
      </w:r>
      <w:r>
        <w:rPr>
          <w:sz w:val="24"/>
          <w:szCs w:val="24"/>
        </w:rPr>
        <w:t>3/24</w:t>
      </w:r>
      <w:r w:rsidRPr="00641730">
        <w:rPr>
          <w:sz w:val="24"/>
          <w:szCs w:val="24"/>
        </w:rPr>
        <w:t xml:space="preserve"> financial year be approved as set out in Appendix 3.</w:t>
      </w:r>
    </w:p>
    <w:p w:rsidR="00D00F9E" w:rsidRPr="00641730" w:rsidRDefault="00D00F9E" w:rsidP="00D00F9E">
      <w:pPr>
        <w:rPr>
          <w:sz w:val="24"/>
          <w:szCs w:val="24"/>
        </w:rPr>
      </w:pPr>
    </w:p>
    <w:p w:rsidR="00D00F9E" w:rsidRDefault="00D00F9E" w:rsidP="00D00F9E">
      <w:pPr>
        <w:ind w:left="1134" w:hanging="567"/>
        <w:jc w:val="left"/>
        <w:rPr>
          <w:sz w:val="24"/>
          <w:szCs w:val="24"/>
        </w:rPr>
      </w:pPr>
      <w:proofErr w:type="gramStart"/>
      <w:r w:rsidRPr="00641730">
        <w:rPr>
          <w:sz w:val="24"/>
          <w:szCs w:val="24"/>
        </w:rPr>
        <w:t xml:space="preserve">(iv) </w:t>
      </w:r>
      <w:r w:rsidRPr="00641730">
        <w:rPr>
          <w:sz w:val="24"/>
          <w:szCs w:val="24"/>
        </w:rPr>
        <w:tab/>
        <w:t>That</w:t>
      </w:r>
      <w:proofErr w:type="gramEnd"/>
      <w:r w:rsidRPr="00641730">
        <w:rPr>
          <w:sz w:val="24"/>
          <w:szCs w:val="24"/>
        </w:rPr>
        <w:t xml:space="preserve"> the Housing Revenue Account (HRA) revenue budget for the 202</w:t>
      </w:r>
      <w:r w:rsidR="009D61A7">
        <w:rPr>
          <w:sz w:val="24"/>
          <w:szCs w:val="24"/>
        </w:rPr>
        <w:t>4</w:t>
      </w:r>
      <w:r w:rsidRPr="00641730">
        <w:rPr>
          <w:sz w:val="24"/>
          <w:szCs w:val="24"/>
        </w:rPr>
        <w:t>/2</w:t>
      </w:r>
      <w:r w:rsidR="009D61A7">
        <w:rPr>
          <w:sz w:val="24"/>
          <w:szCs w:val="24"/>
        </w:rPr>
        <w:t>5</w:t>
      </w:r>
      <w:bookmarkStart w:id="0" w:name="_GoBack"/>
      <w:bookmarkEnd w:id="0"/>
      <w:r>
        <w:rPr>
          <w:sz w:val="24"/>
          <w:szCs w:val="24"/>
        </w:rPr>
        <w:t xml:space="preserve"> to 2025</w:t>
      </w:r>
      <w:r w:rsidRPr="00641730">
        <w:rPr>
          <w:sz w:val="24"/>
          <w:szCs w:val="24"/>
        </w:rPr>
        <w:t>/2</w:t>
      </w:r>
      <w:r>
        <w:rPr>
          <w:sz w:val="24"/>
          <w:szCs w:val="24"/>
        </w:rPr>
        <w:t>6</w:t>
      </w:r>
      <w:r w:rsidRPr="00641730">
        <w:rPr>
          <w:sz w:val="24"/>
          <w:szCs w:val="24"/>
        </w:rPr>
        <w:t xml:space="preserve"> financial years be approved in principle, subject to an annual review, as set out in Appendix 3.</w:t>
      </w:r>
    </w:p>
    <w:p w:rsidR="00D00F9E" w:rsidRPr="00FB7614" w:rsidRDefault="00D00F9E" w:rsidP="00D00F9E">
      <w:pPr>
        <w:rPr>
          <w:sz w:val="24"/>
          <w:szCs w:val="24"/>
        </w:rPr>
      </w:pPr>
    </w:p>
    <w:p w:rsidR="00D00F9E" w:rsidRPr="00641730" w:rsidRDefault="00D00F9E" w:rsidP="00D00F9E">
      <w:pPr>
        <w:ind w:left="1134" w:hanging="567"/>
        <w:rPr>
          <w:sz w:val="24"/>
          <w:szCs w:val="24"/>
        </w:rPr>
      </w:pPr>
      <w:r>
        <w:rPr>
          <w:sz w:val="24"/>
          <w:szCs w:val="24"/>
        </w:rPr>
        <w:t>(v)</w:t>
      </w:r>
      <w:r>
        <w:rPr>
          <w:sz w:val="24"/>
          <w:szCs w:val="24"/>
        </w:rPr>
        <w:tab/>
      </w:r>
      <w:r w:rsidRPr="00641730">
        <w:rPr>
          <w:sz w:val="24"/>
          <w:szCs w:val="24"/>
        </w:rPr>
        <w:t>That the</w:t>
      </w:r>
      <w:r>
        <w:rPr>
          <w:sz w:val="24"/>
          <w:szCs w:val="24"/>
        </w:rPr>
        <w:t xml:space="preserve"> Mansfield District Council 2023</w:t>
      </w:r>
      <w:r w:rsidRPr="00641730">
        <w:rPr>
          <w:sz w:val="24"/>
          <w:szCs w:val="24"/>
        </w:rPr>
        <w:t>/2</w:t>
      </w:r>
      <w:r>
        <w:rPr>
          <w:sz w:val="24"/>
          <w:szCs w:val="24"/>
        </w:rPr>
        <w:t>4</w:t>
      </w:r>
      <w:r w:rsidRPr="00641730">
        <w:rPr>
          <w:sz w:val="24"/>
          <w:szCs w:val="24"/>
        </w:rPr>
        <w:t xml:space="preserve"> Band D Council Tax be approved at £194.72, which is no increase on 202</w:t>
      </w:r>
      <w:r>
        <w:rPr>
          <w:sz w:val="24"/>
          <w:szCs w:val="24"/>
        </w:rPr>
        <w:t>2</w:t>
      </w:r>
      <w:r w:rsidRPr="00641730">
        <w:rPr>
          <w:sz w:val="24"/>
          <w:szCs w:val="24"/>
        </w:rPr>
        <w:t>/2</w:t>
      </w:r>
      <w:r>
        <w:rPr>
          <w:sz w:val="24"/>
          <w:szCs w:val="24"/>
        </w:rPr>
        <w:t>3</w:t>
      </w:r>
      <w:r w:rsidRPr="00641730">
        <w:rPr>
          <w:sz w:val="24"/>
          <w:szCs w:val="24"/>
        </w:rPr>
        <w:t xml:space="preserve"> Council Tax</w:t>
      </w:r>
    </w:p>
    <w:p w:rsidR="00D00F9E" w:rsidRPr="00641730" w:rsidRDefault="00D00F9E" w:rsidP="00D00F9E">
      <w:pPr>
        <w:ind w:left="1134" w:hanging="567"/>
        <w:rPr>
          <w:sz w:val="24"/>
          <w:szCs w:val="24"/>
        </w:rPr>
      </w:pPr>
    </w:p>
    <w:p w:rsidR="00D00F9E" w:rsidRDefault="00D00F9E" w:rsidP="00D00F9E">
      <w:pPr>
        <w:ind w:left="1134" w:hanging="567"/>
        <w:rPr>
          <w:sz w:val="24"/>
          <w:szCs w:val="24"/>
        </w:rPr>
      </w:pPr>
      <w:proofErr w:type="gramStart"/>
      <w:r w:rsidRPr="00641730">
        <w:rPr>
          <w:sz w:val="24"/>
          <w:szCs w:val="24"/>
        </w:rPr>
        <w:t>(vi)</w:t>
      </w:r>
      <w:r w:rsidRPr="00641730">
        <w:rPr>
          <w:sz w:val="24"/>
          <w:szCs w:val="24"/>
        </w:rPr>
        <w:tab/>
        <w:t>That</w:t>
      </w:r>
      <w:proofErr w:type="gramEnd"/>
      <w:r w:rsidRPr="00641730">
        <w:rPr>
          <w:sz w:val="24"/>
          <w:szCs w:val="24"/>
        </w:rPr>
        <w:t xml:space="preserve"> the fees and charges for General Fund s</w:t>
      </w:r>
      <w:r>
        <w:rPr>
          <w:sz w:val="24"/>
          <w:szCs w:val="24"/>
        </w:rPr>
        <w:t>ervices be approved for the 2023</w:t>
      </w:r>
      <w:r w:rsidRPr="00641730">
        <w:rPr>
          <w:sz w:val="24"/>
          <w:szCs w:val="24"/>
        </w:rPr>
        <w:t>/2</w:t>
      </w:r>
      <w:r>
        <w:rPr>
          <w:sz w:val="24"/>
          <w:szCs w:val="24"/>
        </w:rPr>
        <w:t>4</w:t>
      </w:r>
      <w:r w:rsidRPr="00641730">
        <w:rPr>
          <w:sz w:val="24"/>
          <w:szCs w:val="24"/>
        </w:rPr>
        <w:t xml:space="preserve"> </w:t>
      </w:r>
      <w:r w:rsidRPr="00B96951">
        <w:rPr>
          <w:sz w:val="24"/>
          <w:szCs w:val="24"/>
        </w:rPr>
        <w:t xml:space="preserve">financial year, as defined in section 3.4.9 and detailed in </w:t>
      </w:r>
    </w:p>
    <w:p w:rsidR="00D00F9E" w:rsidRDefault="00D00F9E" w:rsidP="00D00F9E">
      <w:pPr>
        <w:ind w:left="1134"/>
        <w:rPr>
          <w:sz w:val="24"/>
          <w:szCs w:val="24"/>
        </w:rPr>
      </w:pPr>
    </w:p>
    <w:p w:rsidR="00D00F9E" w:rsidRDefault="00D00F9E" w:rsidP="00D00F9E">
      <w:pPr>
        <w:ind w:left="1134"/>
        <w:rPr>
          <w:sz w:val="24"/>
          <w:szCs w:val="24"/>
        </w:rPr>
      </w:pPr>
      <w:r>
        <w:rPr>
          <w:sz w:val="24"/>
          <w:szCs w:val="24"/>
        </w:rPr>
        <w:t>Appendix 9   Fees &amp; Charges</w:t>
      </w:r>
    </w:p>
    <w:p w:rsidR="00D00F9E" w:rsidRDefault="00D00F9E" w:rsidP="00D00F9E">
      <w:pPr>
        <w:ind w:left="1134"/>
        <w:rPr>
          <w:sz w:val="24"/>
          <w:szCs w:val="24"/>
        </w:rPr>
      </w:pPr>
      <w:r>
        <w:rPr>
          <w:sz w:val="24"/>
          <w:szCs w:val="24"/>
        </w:rPr>
        <w:t>Appendix 10 Planning Application Fees</w:t>
      </w:r>
    </w:p>
    <w:p w:rsidR="00D00F9E" w:rsidRDefault="00D00F9E" w:rsidP="00D00F9E">
      <w:pPr>
        <w:ind w:left="1134"/>
        <w:rPr>
          <w:sz w:val="24"/>
          <w:szCs w:val="24"/>
        </w:rPr>
      </w:pPr>
    </w:p>
    <w:p w:rsidR="00D00F9E" w:rsidRDefault="00D00F9E" w:rsidP="00D00F9E">
      <w:pPr>
        <w:ind w:left="1134" w:hanging="567"/>
        <w:jc w:val="left"/>
        <w:rPr>
          <w:sz w:val="24"/>
          <w:szCs w:val="24"/>
        </w:rPr>
      </w:pPr>
      <w:r w:rsidRPr="00B96951">
        <w:rPr>
          <w:sz w:val="24"/>
          <w:szCs w:val="24"/>
        </w:rPr>
        <w:lastRenderedPageBreak/>
        <w:t>(vii)</w:t>
      </w:r>
      <w:r w:rsidRPr="00B96951">
        <w:rPr>
          <w:sz w:val="24"/>
          <w:szCs w:val="24"/>
        </w:rPr>
        <w:tab/>
        <w:t>That the fees and charges for Housing Revenue Account s</w:t>
      </w:r>
      <w:r>
        <w:rPr>
          <w:sz w:val="24"/>
          <w:szCs w:val="24"/>
        </w:rPr>
        <w:t>ervices be approved for the 2023/24</w:t>
      </w:r>
      <w:r w:rsidRPr="00B96951">
        <w:rPr>
          <w:sz w:val="24"/>
          <w:szCs w:val="24"/>
        </w:rPr>
        <w:t xml:space="preserve"> financial year, as set out in Appendix 9.</w:t>
      </w:r>
    </w:p>
    <w:p w:rsidR="00D00F9E" w:rsidRDefault="00D00F9E" w:rsidP="00D00F9E">
      <w:pPr>
        <w:ind w:left="1134" w:hanging="567"/>
        <w:jc w:val="left"/>
        <w:rPr>
          <w:sz w:val="24"/>
          <w:szCs w:val="24"/>
        </w:rPr>
      </w:pPr>
    </w:p>
    <w:p w:rsidR="00D00F9E" w:rsidRDefault="00D00F9E" w:rsidP="00D00F9E">
      <w:pPr>
        <w:ind w:left="1134" w:hanging="567"/>
        <w:jc w:val="left"/>
        <w:rPr>
          <w:sz w:val="24"/>
          <w:szCs w:val="24"/>
        </w:rPr>
      </w:pPr>
      <w:r w:rsidRPr="00641730">
        <w:rPr>
          <w:sz w:val="24"/>
          <w:szCs w:val="24"/>
        </w:rPr>
        <w:t>(viii)</w:t>
      </w:r>
      <w:r w:rsidRPr="00641730">
        <w:rPr>
          <w:sz w:val="24"/>
          <w:szCs w:val="24"/>
        </w:rPr>
        <w:tab/>
        <w:t xml:space="preserve">That Council Dwelling rents be increased by </w:t>
      </w:r>
      <w:r>
        <w:rPr>
          <w:sz w:val="24"/>
          <w:szCs w:val="24"/>
        </w:rPr>
        <w:t>7% for the 2023/24</w:t>
      </w:r>
      <w:r w:rsidRPr="00641730">
        <w:rPr>
          <w:sz w:val="24"/>
          <w:szCs w:val="24"/>
        </w:rPr>
        <w:t xml:space="preserve"> financial year, in line with Government Guideline Rents</w:t>
      </w:r>
      <w:r>
        <w:rPr>
          <w:sz w:val="24"/>
          <w:szCs w:val="24"/>
        </w:rPr>
        <w:t>.</w:t>
      </w:r>
      <w:r w:rsidRPr="00641730">
        <w:rPr>
          <w:sz w:val="24"/>
          <w:szCs w:val="24"/>
        </w:rPr>
        <w:t xml:space="preserve"> </w:t>
      </w:r>
    </w:p>
    <w:p w:rsidR="00D00F9E" w:rsidRDefault="00D00F9E" w:rsidP="00D00F9E">
      <w:pPr>
        <w:ind w:left="1134" w:hanging="567"/>
        <w:jc w:val="left"/>
        <w:rPr>
          <w:sz w:val="24"/>
          <w:szCs w:val="24"/>
        </w:rPr>
      </w:pPr>
    </w:p>
    <w:p w:rsidR="00D00F9E" w:rsidRPr="00641730" w:rsidRDefault="00D00F9E" w:rsidP="00D00F9E">
      <w:pPr>
        <w:ind w:left="1134" w:hanging="567"/>
        <w:jc w:val="left"/>
        <w:rPr>
          <w:sz w:val="24"/>
          <w:szCs w:val="24"/>
        </w:rPr>
      </w:pPr>
      <w:r>
        <w:rPr>
          <w:sz w:val="24"/>
          <w:szCs w:val="24"/>
        </w:rPr>
        <w:t>(ix)</w:t>
      </w:r>
      <w:r>
        <w:rPr>
          <w:sz w:val="24"/>
          <w:szCs w:val="24"/>
        </w:rPr>
        <w:tab/>
      </w:r>
      <w:r w:rsidRPr="00641730">
        <w:rPr>
          <w:sz w:val="24"/>
          <w:szCs w:val="24"/>
        </w:rPr>
        <w:t>That the General Fund Consolidated Capital Programme as</w:t>
      </w:r>
      <w:r w:rsidR="00AD27E5">
        <w:rPr>
          <w:sz w:val="24"/>
          <w:szCs w:val="24"/>
        </w:rPr>
        <w:t xml:space="preserve"> summarised </w:t>
      </w:r>
      <w:r w:rsidRPr="00641730">
        <w:rPr>
          <w:sz w:val="24"/>
          <w:szCs w:val="24"/>
        </w:rPr>
        <w:t xml:space="preserve">in Table 3 and </w:t>
      </w:r>
      <w:r w:rsidR="00AD27E5">
        <w:rPr>
          <w:sz w:val="24"/>
          <w:szCs w:val="24"/>
        </w:rPr>
        <w:t xml:space="preserve">detailed in </w:t>
      </w:r>
      <w:r w:rsidRPr="00641730">
        <w:rPr>
          <w:sz w:val="24"/>
          <w:szCs w:val="24"/>
        </w:rPr>
        <w:t>Appendix 4 be approved.</w:t>
      </w:r>
    </w:p>
    <w:p w:rsidR="00D00F9E" w:rsidRPr="00641730" w:rsidRDefault="00D00F9E" w:rsidP="00D00F9E">
      <w:pPr>
        <w:ind w:left="1134" w:hanging="567"/>
        <w:jc w:val="left"/>
        <w:rPr>
          <w:sz w:val="24"/>
          <w:szCs w:val="24"/>
        </w:rPr>
      </w:pPr>
    </w:p>
    <w:p w:rsidR="00D00F9E" w:rsidRPr="00F275EA" w:rsidRDefault="00D00F9E" w:rsidP="00D00F9E">
      <w:pPr>
        <w:ind w:left="1134" w:hanging="567"/>
        <w:jc w:val="left"/>
        <w:rPr>
          <w:sz w:val="24"/>
          <w:szCs w:val="24"/>
        </w:rPr>
      </w:pPr>
      <w:r w:rsidRPr="00641730">
        <w:rPr>
          <w:sz w:val="24"/>
          <w:szCs w:val="24"/>
        </w:rPr>
        <w:t>(x)</w:t>
      </w:r>
      <w:r w:rsidRPr="00641730">
        <w:rPr>
          <w:sz w:val="24"/>
          <w:szCs w:val="24"/>
        </w:rPr>
        <w:tab/>
        <w:t xml:space="preserve">That the Housing Revenue Account Consolidated Capital Programme as </w:t>
      </w:r>
      <w:r w:rsidR="00AD27E5">
        <w:rPr>
          <w:sz w:val="24"/>
          <w:szCs w:val="24"/>
        </w:rPr>
        <w:t xml:space="preserve">summarised </w:t>
      </w:r>
      <w:r w:rsidRPr="00641730">
        <w:rPr>
          <w:sz w:val="24"/>
          <w:szCs w:val="24"/>
        </w:rPr>
        <w:t xml:space="preserve">in Table 4 and </w:t>
      </w:r>
      <w:r w:rsidR="00AD27E5">
        <w:rPr>
          <w:sz w:val="24"/>
          <w:szCs w:val="24"/>
        </w:rPr>
        <w:t xml:space="preserve">detailed in </w:t>
      </w:r>
      <w:r w:rsidRPr="00641730">
        <w:rPr>
          <w:sz w:val="24"/>
          <w:szCs w:val="24"/>
        </w:rPr>
        <w:t>Appendix 5 be approved.</w:t>
      </w:r>
    </w:p>
    <w:p w:rsidR="00545280" w:rsidRPr="00656AD3" w:rsidRDefault="00545280" w:rsidP="00116979">
      <w:pPr>
        <w:jc w:val="left"/>
        <w:rPr>
          <w:b/>
          <w:sz w:val="24"/>
          <w:szCs w:val="24"/>
        </w:rPr>
      </w:pPr>
    </w:p>
    <w:p w:rsidR="009856E8" w:rsidRDefault="009856E8" w:rsidP="009856E8">
      <w:pPr>
        <w:ind w:left="1080"/>
        <w:jc w:val="left"/>
        <w:rPr>
          <w:sz w:val="24"/>
          <w:szCs w:val="24"/>
        </w:rPr>
      </w:pPr>
    </w:p>
    <w:p w:rsidR="00116979" w:rsidRPr="00656AD3" w:rsidRDefault="00116979" w:rsidP="009856E8">
      <w:pPr>
        <w:ind w:left="1080"/>
        <w:jc w:val="left"/>
        <w:rPr>
          <w:sz w:val="24"/>
          <w:szCs w:val="24"/>
        </w:rPr>
      </w:pPr>
    </w:p>
    <w:p w:rsidR="00BE210E" w:rsidRPr="007A4039" w:rsidRDefault="00BE210E" w:rsidP="00394E10">
      <w:pPr>
        <w:ind w:left="851" w:hanging="851"/>
        <w:jc w:val="left"/>
        <w:outlineLvl w:val="0"/>
        <w:rPr>
          <w:b/>
          <w:sz w:val="24"/>
          <w:szCs w:val="24"/>
        </w:rPr>
      </w:pPr>
      <w:r w:rsidRPr="007A4039">
        <w:rPr>
          <w:b/>
          <w:sz w:val="24"/>
          <w:szCs w:val="24"/>
        </w:rPr>
        <w:t>3.</w:t>
      </w:r>
      <w:r w:rsidRPr="007A4039">
        <w:rPr>
          <w:b/>
          <w:sz w:val="24"/>
          <w:szCs w:val="24"/>
        </w:rPr>
        <w:tab/>
        <w:t>BACKGROUND</w:t>
      </w:r>
    </w:p>
    <w:p w:rsidR="00070970" w:rsidRPr="007A4039" w:rsidRDefault="00070970" w:rsidP="00394E10">
      <w:pPr>
        <w:ind w:left="851" w:hanging="851"/>
        <w:jc w:val="left"/>
        <w:rPr>
          <w:b/>
          <w:sz w:val="24"/>
          <w:szCs w:val="24"/>
        </w:rPr>
      </w:pPr>
    </w:p>
    <w:p w:rsidR="005603C4" w:rsidRPr="007A4039" w:rsidRDefault="005603C4" w:rsidP="005603C4">
      <w:pPr>
        <w:rPr>
          <w:rFonts w:cs="Arial"/>
          <w:sz w:val="24"/>
          <w:szCs w:val="24"/>
        </w:rPr>
      </w:pPr>
    </w:p>
    <w:p w:rsidR="005603C4" w:rsidRPr="007A4039" w:rsidRDefault="00CF264B" w:rsidP="005A2D3A">
      <w:pPr>
        <w:jc w:val="left"/>
        <w:rPr>
          <w:rFonts w:cs="Arial"/>
          <w:b/>
          <w:sz w:val="24"/>
          <w:szCs w:val="24"/>
        </w:rPr>
      </w:pPr>
      <w:r w:rsidRPr="007A4039">
        <w:rPr>
          <w:rFonts w:cs="Arial"/>
          <w:b/>
          <w:sz w:val="24"/>
          <w:szCs w:val="24"/>
        </w:rPr>
        <w:t>3.1</w:t>
      </w:r>
      <w:r w:rsidRPr="007A4039">
        <w:rPr>
          <w:rFonts w:cs="Arial"/>
          <w:b/>
          <w:sz w:val="24"/>
          <w:szCs w:val="24"/>
        </w:rPr>
        <w:tab/>
      </w:r>
      <w:r w:rsidR="00104C96">
        <w:rPr>
          <w:rFonts w:cs="Arial"/>
          <w:b/>
          <w:sz w:val="24"/>
          <w:szCs w:val="24"/>
        </w:rPr>
        <w:t>Cost of Living Crisis</w:t>
      </w:r>
    </w:p>
    <w:p w:rsidR="005603C4" w:rsidRPr="007A4039" w:rsidRDefault="005603C4" w:rsidP="005A2D3A">
      <w:pPr>
        <w:ind w:left="851"/>
        <w:jc w:val="left"/>
        <w:rPr>
          <w:rFonts w:cs="Arial"/>
          <w:sz w:val="24"/>
          <w:szCs w:val="24"/>
        </w:rPr>
      </w:pPr>
    </w:p>
    <w:p w:rsidR="00143096" w:rsidRPr="00143096" w:rsidRDefault="00143096" w:rsidP="005A2D3A">
      <w:pPr>
        <w:ind w:left="720" w:hanging="720"/>
        <w:jc w:val="left"/>
        <w:rPr>
          <w:rFonts w:cs="Arial"/>
          <w:sz w:val="24"/>
          <w:szCs w:val="24"/>
        </w:rPr>
      </w:pPr>
      <w:r w:rsidRPr="00143096">
        <w:rPr>
          <w:rFonts w:cs="Arial"/>
          <w:sz w:val="24"/>
          <w:szCs w:val="24"/>
        </w:rPr>
        <w:t>3.1.1</w:t>
      </w:r>
      <w:r w:rsidRPr="00143096">
        <w:rPr>
          <w:rFonts w:cs="Arial"/>
          <w:sz w:val="24"/>
          <w:szCs w:val="24"/>
        </w:rPr>
        <w:tab/>
      </w:r>
      <w:r w:rsidR="00104C96">
        <w:rPr>
          <w:rFonts w:cs="Arial"/>
          <w:sz w:val="24"/>
          <w:szCs w:val="24"/>
        </w:rPr>
        <w:t>The 2022/23</w:t>
      </w:r>
      <w:r w:rsidR="00104C96" w:rsidRPr="00864216">
        <w:rPr>
          <w:rFonts w:cs="Arial"/>
          <w:sz w:val="24"/>
          <w:szCs w:val="24"/>
        </w:rPr>
        <w:t xml:space="preserve"> budget for both General Fund and Housing Revenue Account (HRA) was approved </w:t>
      </w:r>
      <w:r w:rsidR="00104C96">
        <w:rPr>
          <w:rFonts w:cs="Arial"/>
          <w:sz w:val="24"/>
          <w:szCs w:val="24"/>
        </w:rPr>
        <w:t xml:space="preserve">as the UK was emerging from </w:t>
      </w:r>
      <w:r w:rsidR="00104C96" w:rsidRPr="00864216">
        <w:rPr>
          <w:rFonts w:cs="Arial"/>
          <w:sz w:val="24"/>
          <w:szCs w:val="24"/>
        </w:rPr>
        <w:t>the Covid-19 pandemic</w:t>
      </w:r>
      <w:r w:rsidR="00104C96">
        <w:rPr>
          <w:rFonts w:cs="Arial"/>
          <w:sz w:val="24"/>
          <w:szCs w:val="24"/>
        </w:rPr>
        <w:t>, and as the crisis in the Ukraine was just unfolding.</w:t>
      </w:r>
    </w:p>
    <w:p w:rsidR="00143096" w:rsidRPr="00143096" w:rsidRDefault="00143096" w:rsidP="005A2D3A">
      <w:pPr>
        <w:ind w:left="720" w:hanging="720"/>
        <w:jc w:val="left"/>
        <w:rPr>
          <w:rFonts w:cs="Arial"/>
          <w:sz w:val="24"/>
          <w:szCs w:val="24"/>
        </w:rPr>
      </w:pPr>
    </w:p>
    <w:p w:rsidR="00143096" w:rsidRDefault="00143096" w:rsidP="005A2D3A">
      <w:pPr>
        <w:ind w:left="720" w:hanging="720"/>
        <w:jc w:val="left"/>
        <w:rPr>
          <w:rFonts w:cs="Arial"/>
          <w:sz w:val="24"/>
          <w:szCs w:val="24"/>
        </w:rPr>
      </w:pPr>
      <w:r w:rsidRPr="00143096">
        <w:rPr>
          <w:rFonts w:cs="Arial"/>
          <w:sz w:val="24"/>
          <w:szCs w:val="24"/>
        </w:rPr>
        <w:t>3.</w:t>
      </w:r>
      <w:r w:rsidR="00DD5C84">
        <w:rPr>
          <w:rFonts w:cs="Arial"/>
          <w:sz w:val="24"/>
          <w:szCs w:val="24"/>
        </w:rPr>
        <w:t>1.2</w:t>
      </w:r>
      <w:r w:rsidR="00DD5C84">
        <w:rPr>
          <w:rFonts w:cs="Arial"/>
          <w:sz w:val="24"/>
          <w:szCs w:val="24"/>
        </w:rPr>
        <w:tab/>
      </w:r>
      <w:r w:rsidR="009F22E4">
        <w:rPr>
          <w:rFonts w:cs="Arial"/>
          <w:sz w:val="24"/>
          <w:szCs w:val="24"/>
        </w:rPr>
        <w:t>Since the 2022/23 budget was set, the UK has seen marked increases in the cost of key expenditure items such as fuel and utilities. This has meant increased costs for the Council, and increased costs for our residents.</w:t>
      </w:r>
    </w:p>
    <w:p w:rsidR="00182BDF" w:rsidRDefault="00182BDF" w:rsidP="005A2D3A">
      <w:pPr>
        <w:ind w:left="720" w:hanging="720"/>
        <w:jc w:val="left"/>
        <w:rPr>
          <w:rFonts w:cs="Arial"/>
          <w:sz w:val="24"/>
          <w:szCs w:val="24"/>
        </w:rPr>
      </w:pPr>
    </w:p>
    <w:p w:rsidR="00182BDF" w:rsidRDefault="00182BDF" w:rsidP="005A2D3A">
      <w:pPr>
        <w:ind w:left="720" w:hanging="720"/>
        <w:jc w:val="left"/>
        <w:rPr>
          <w:rFonts w:cs="Arial"/>
          <w:sz w:val="24"/>
          <w:szCs w:val="24"/>
        </w:rPr>
      </w:pPr>
      <w:r>
        <w:rPr>
          <w:rFonts w:cs="Arial"/>
          <w:sz w:val="24"/>
          <w:szCs w:val="24"/>
        </w:rPr>
        <w:t>3.1.3</w:t>
      </w:r>
      <w:r>
        <w:rPr>
          <w:rFonts w:cs="Arial"/>
          <w:sz w:val="24"/>
          <w:szCs w:val="24"/>
        </w:rPr>
        <w:tab/>
        <w:t xml:space="preserve">Estimates for both fuel and utilities were included in the 2022/23 budget using information available at the time. However, increases in both of these items have been much greater than anticipated, and these increases are expected to continue into 2023/24, as the conflict in Ukraine continues to mean instability in the utilities market. For 2023/24, </w:t>
      </w:r>
      <w:r w:rsidR="008861C5" w:rsidRPr="008861C5">
        <w:rPr>
          <w:rFonts w:cs="Arial"/>
          <w:sz w:val="24"/>
          <w:szCs w:val="24"/>
        </w:rPr>
        <w:t>Mansfield District Council</w:t>
      </w:r>
      <w:r w:rsidR="008861C5">
        <w:rPr>
          <w:rFonts w:cs="Arial"/>
          <w:sz w:val="24"/>
          <w:szCs w:val="24"/>
        </w:rPr>
        <w:t>’s General Fund electricity budget has increased by £332k compared to previous estimates, and the gas budget has increased by £254k</w:t>
      </w:r>
    </w:p>
    <w:p w:rsidR="00182BDF" w:rsidRDefault="00182BDF" w:rsidP="005A2D3A">
      <w:pPr>
        <w:ind w:left="720" w:hanging="720"/>
        <w:jc w:val="left"/>
        <w:rPr>
          <w:rFonts w:cs="Arial"/>
          <w:sz w:val="24"/>
          <w:szCs w:val="24"/>
        </w:rPr>
      </w:pPr>
    </w:p>
    <w:p w:rsidR="00182BDF" w:rsidRDefault="00182BDF" w:rsidP="005A2D3A">
      <w:pPr>
        <w:ind w:left="720" w:hanging="720"/>
        <w:jc w:val="left"/>
        <w:rPr>
          <w:rFonts w:cs="Arial"/>
          <w:sz w:val="24"/>
          <w:szCs w:val="24"/>
        </w:rPr>
      </w:pPr>
      <w:r>
        <w:rPr>
          <w:rFonts w:cs="Arial"/>
          <w:sz w:val="24"/>
          <w:szCs w:val="24"/>
        </w:rPr>
        <w:t>3.1.4</w:t>
      </w:r>
      <w:r>
        <w:rPr>
          <w:rFonts w:cs="Arial"/>
          <w:sz w:val="24"/>
          <w:szCs w:val="24"/>
        </w:rPr>
        <w:tab/>
      </w:r>
      <w:r w:rsidRPr="00182BDF">
        <w:rPr>
          <w:rFonts w:cs="Arial"/>
          <w:sz w:val="24"/>
          <w:szCs w:val="24"/>
        </w:rPr>
        <w:t xml:space="preserve">The Consumer Price Index (CPI), which provides the measure for inflation, was at 3.5% at August 2021, when the 2022/23 budget-setting process began. However, CPI has risen sharply in recent months, and </w:t>
      </w:r>
      <w:r w:rsidR="008F019B">
        <w:rPr>
          <w:rFonts w:cs="Arial"/>
          <w:sz w:val="24"/>
          <w:szCs w:val="24"/>
        </w:rPr>
        <w:t>was</w:t>
      </w:r>
      <w:r w:rsidRPr="00182BDF">
        <w:rPr>
          <w:rFonts w:cs="Arial"/>
          <w:sz w:val="24"/>
          <w:szCs w:val="24"/>
        </w:rPr>
        <w:t xml:space="preserve"> at an all-time high of 10.1%</w:t>
      </w:r>
      <w:r w:rsidR="008F019B">
        <w:rPr>
          <w:rFonts w:cs="Arial"/>
          <w:sz w:val="24"/>
          <w:szCs w:val="24"/>
        </w:rPr>
        <w:t xml:space="preserve"> in </w:t>
      </w:r>
      <w:r w:rsidR="007311CC">
        <w:rPr>
          <w:rFonts w:cs="Arial"/>
          <w:sz w:val="24"/>
          <w:szCs w:val="24"/>
        </w:rPr>
        <w:t>September</w:t>
      </w:r>
      <w:r w:rsidR="008F019B">
        <w:rPr>
          <w:rFonts w:cs="Arial"/>
          <w:sz w:val="24"/>
          <w:szCs w:val="24"/>
        </w:rPr>
        <w:t xml:space="preserve"> 2022</w:t>
      </w:r>
      <w:r w:rsidRPr="00182BDF">
        <w:rPr>
          <w:rFonts w:cs="Arial"/>
          <w:sz w:val="24"/>
          <w:szCs w:val="24"/>
        </w:rPr>
        <w:t>, due to sharp increases in goods such as utilities.</w:t>
      </w:r>
      <w:r w:rsidR="008F019B">
        <w:rPr>
          <w:rFonts w:cs="Arial"/>
          <w:sz w:val="24"/>
          <w:szCs w:val="24"/>
        </w:rPr>
        <w:t xml:space="preserve"> </w:t>
      </w:r>
    </w:p>
    <w:p w:rsidR="00182BDF" w:rsidRDefault="00182BDF" w:rsidP="005A2D3A">
      <w:pPr>
        <w:ind w:left="720" w:hanging="720"/>
        <w:jc w:val="left"/>
        <w:rPr>
          <w:rFonts w:cs="Arial"/>
          <w:sz w:val="24"/>
          <w:szCs w:val="24"/>
        </w:rPr>
      </w:pPr>
    </w:p>
    <w:p w:rsidR="00182BDF" w:rsidRDefault="00182BDF" w:rsidP="005A2D3A">
      <w:pPr>
        <w:ind w:left="720" w:hanging="720"/>
        <w:jc w:val="left"/>
        <w:rPr>
          <w:rFonts w:cs="Arial"/>
          <w:sz w:val="24"/>
          <w:szCs w:val="24"/>
        </w:rPr>
      </w:pPr>
      <w:r>
        <w:rPr>
          <w:rFonts w:cs="Arial"/>
          <w:sz w:val="24"/>
          <w:szCs w:val="24"/>
        </w:rPr>
        <w:t>3.1.5</w:t>
      </w:r>
      <w:r>
        <w:rPr>
          <w:rFonts w:cs="Arial"/>
          <w:sz w:val="24"/>
          <w:szCs w:val="24"/>
        </w:rPr>
        <w:tab/>
      </w:r>
      <w:r w:rsidR="0089535A">
        <w:rPr>
          <w:rFonts w:cs="Arial"/>
          <w:sz w:val="24"/>
          <w:szCs w:val="24"/>
        </w:rPr>
        <w:t xml:space="preserve">There is also a confirmed </w:t>
      </w:r>
      <w:r w:rsidR="0089535A" w:rsidRPr="000B7B1E">
        <w:rPr>
          <w:rFonts w:cs="Arial"/>
          <w:sz w:val="24"/>
          <w:szCs w:val="24"/>
        </w:rPr>
        <w:t xml:space="preserve">higher pay award than </w:t>
      </w:r>
      <w:r w:rsidR="0089535A">
        <w:rPr>
          <w:rFonts w:cs="Arial"/>
          <w:sz w:val="24"/>
          <w:szCs w:val="24"/>
        </w:rPr>
        <w:t xml:space="preserve">that which </w:t>
      </w:r>
      <w:r w:rsidR="0089535A" w:rsidRPr="000B7B1E">
        <w:rPr>
          <w:rFonts w:cs="Arial"/>
          <w:sz w:val="24"/>
          <w:szCs w:val="24"/>
        </w:rPr>
        <w:t xml:space="preserve">was </w:t>
      </w:r>
      <w:r w:rsidR="0089535A">
        <w:rPr>
          <w:rFonts w:cs="Arial"/>
          <w:sz w:val="24"/>
          <w:szCs w:val="24"/>
        </w:rPr>
        <w:t>assumed</w:t>
      </w:r>
      <w:r w:rsidR="0089535A" w:rsidRPr="000B7B1E">
        <w:rPr>
          <w:rFonts w:cs="Arial"/>
          <w:sz w:val="24"/>
          <w:szCs w:val="24"/>
        </w:rPr>
        <w:t xml:space="preserve"> in the 2022/23 budget. When the 2022/23 budget was set, a 2% pay award was assumed year-on-year. However, the </w:t>
      </w:r>
      <w:r w:rsidR="0089535A">
        <w:rPr>
          <w:rFonts w:cs="Arial"/>
          <w:sz w:val="24"/>
          <w:szCs w:val="24"/>
        </w:rPr>
        <w:t>offer from employers, which the trade unions have accepted</w:t>
      </w:r>
      <w:r w:rsidR="0089535A" w:rsidRPr="000B7B1E">
        <w:rPr>
          <w:rFonts w:cs="Arial"/>
          <w:sz w:val="24"/>
          <w:szCs w:val="24"/>
        </w:rPr>
        <w:t xml:space="preserve">, includes a £1,925 pay rise for each employee, an average increase of 6.79% across all pay bandings. </w:t>
      </w:r>
      <w:r w:rsidR="0089535A">
        <w:rPr>
          <w:rFonts w:cs="Arial"/>
          <w:sz w:val="24"/>
          <w:szCs w:val="24"/>
        </w:rPr>
        <w:t xml:space="preserve">This </w:t>
      </w:r>
      <w:r w:rsidR="008861C5">
        <w:rPr>
          <w:rFonts w:cs="Arial"/>
          <w:sz w:val="24"/>
          <w:szCs w:val="24"/>
        </w:rPr>
        <w:t>has been included within the base for 2023/</w:t>
      </w:r>
      <w:r w:rsidR="0089535A">
        <w:rPr>
          <w:rFonts w:cs="Arial"/>
          <w:sz w:val="24"/>
          <w:szCs w:val="24"/>
        </w:rPr>
        <w:t>24</w:t>
      </w:r>
      <w:r w:rsidR="008861C5">
        <w:rPr>
          <w:rFonts w:cs="Arial"/>
          <w:sz w:val="24"/>
          <w:szCs w:val="24"/>
        </w:rPr>
        <w:t xml:space="preserve">, with an additional estimated 4% increase for 2023/24 included on top of this. </w:t>
      </w:r>
      <w:r w:rsidR="003049A4">
        <w:rPr>
          <w:rFonts w:cs="Arial"/>
          <w:sz w:val="24"/>
          <w:szCs w:val="24"/>
        </w:rPr>
        <w:t xml:space="preserve">The impact of the 2022/23 pay award, plus an estimated 4% pay award for 2023/24, is an increased basic pay budget of </w:t>
      </w:r>
      <w:r w:rsidR="003049A4">
        <w:rPr>
          <w:rFonts w:cs="Arial"/>
          <w:sz w:val="24"/>
          <w:szCs w:val="24"/>
        </w:rPr>
        <w:lastRenderedPageBreak/>
        <w:t>£802k for the Council’s General Fund, compared to the original estimate for 2023/24.</w:t>
      </w:r>
    </w:p>
    <w:p w:rsidR="003049A4" w:rsidRDefault="003049A4" w:rsidP="005A2D3A">
      <w:pPr>
        <w:ind w:left="720" w:hanging="720"/>
        <w:jc w:val="left"/>
        <w:rPr>
          <w:rFonts w:cs="Arial"/>
          <w:sz w:val="24"/>
          <w:szCs w:val="24"/>
        </w:rPr>
      </w:pPr>
    </w:p>
    <w:p w:rsidR="003049A4" w:rsidRPr="00143096" w:rsidRDefault="003049A4" w:rsidP="005A2D3A">
      <w:pPr>
        <w:ind w:left="720" w:hanging="720"/>
        <w:jc w:val="left"/>
        <w:rPr>
          <w:rFonts w:cs="Arial"/>
          <w:sz w:val="24"/>
          <w:szCs w:val="24"/>
        </w:rPr>
      </w:pPr>
      <w:r>
        <w:rPr>
          <w:rFonts w:cs="Arial"/>
          <w:sz w:val="24"/>
          <w:szCs w:val="24"/>
        </w:rPr>
        <w:t>3.1.5</w:t>
      </w:r>
      <w:r>
        <w:rPr>
          <w:rFonts w:cs="Arial"/>
          <w:sz w:val="24"/>
          <w:szCs w:val="24"/>
        </w:rPr>
        <w:tab/>
        <w:t>The overall impact of the increased costs discussed above, is further pressure on the Council’s budget, for both the General F</w:t>
      </w:r>
      <w:r w:rsidR="002D0C0D">
        <w:rPr>
          <w:rFonts w:cs="Arial"/>
          <w:sz w:val="24"/>
          <w:szCs w:val="24"/>
        </w:rPr>
        <w:t>und and Housing Revenue Account revenue and capital budgets.</w:t>
      </w:r>
    </w:p>
    <w:p w:rsidR="00143096" w:rsidRPr="00143096" w:rsidRDefault="00143096" w:rsidP="00143096">
      <w:pPr>
        <w:rPr>
          <w:rFonts w:cs="Arial"/>
          <w:sz w:val="24"/>
          <w:szCs w:val="24"/>
        </w:rPr>
      </w:pPr>
    </w:p>
    <w:p w:rsidR="00B179E3" w:rsidRPr="00A867DD" w:rsidRDefault="00B179E3" w:rsidP="00394E10">
      <w:pPr>
        <w:ind w:left="851" w:hanging="851"/>
        <w:jc w:val="left"/>
        <w:rPr>
          <w:sz w:val="24"/>
          <w:szCs w:val="24"/>
        </w:rPr>
      </w:pPr>
    </w:p>
    <w:p w:rsidR="00FE4615" w:rsidRPr="00A867DD" w:rsidRDefault="00840317" w:rsidP="00394E10">
      <w:pPr>
        <w:ind w:left="851" w:hanging="851"/>
        <w:jc w:val="left"/>
        <w:outlineLvl w:val="0"/>
        <w:rPr>
          <w:b/>
          <w:sz w:val="24"/>
          <w:szCs w:val="24"/>
        </w:rPr>
      </w:pPr>
      <w:r w:rsidRPr="00A867DD">
        <w:rPr>
          <w:b/>
          <w:sz w:val="24"/>
          <w:szCs w:val="24"/>
        </w:rPr>
        <w:t>3.</w:t>
      </w:r>
      <w:r w:rsidR="00791A88" w:rsidRPr="00A867DD">
        <w:rPr>
          <w:b/>
          <w:sz w:val="24"/>
          <w:szCs w:val="24"/>
        </w:rPr>
        <w:t>2</w:t>
      </w:r>
      <w:r w:rsidRPr="00A867DD">
        <w:rPr>
          <w:b/>
          <w:sz w:val="24"/>
          <w:szCs w:val="24"/>
        </w:rPr>
        <w:tab/>
      </w:r>
      <w:r w:rsidR="00D07702" w:rsidRPr="00A867DD">
        <w:rPr>
          <w:b/>
          <w:sz w:val="24"/>
          <w:szCs w:val="24"/>
        </w:rPr>
        <w:t>Financial Context</w:t>
      </w:r>
    </w:p>
    <w:p w:rsidR="000069CC" w:rsidRPr="00143096" w:rsidRDefault="000069CC" w:rsidP="00394E10">
      <w:pPr>
        <w:ind w:left="851" w:hanging="851"/>
        <w:rPr>
          <w:rFonts w:cs="Arial"/>
          <w:sz w:val="24"/>
          <w:szCs w:val="24"/>
        </w:rPr>
      </w:pPr>
    </w:p>
    <w:p w:rsidR="00143096" w:rsidRDefault="00143096" w:rsidP="00143096">
      <w:pPr>
        <w:ind w:left="851" w:hanging="851"/>
        <w:jc w:val="left"/>
        <w:rPr>
          <w:rFonts w:cs="Arial"/>
          <w:sz w:val="24"/>
          <w:szCs w:val="24"/>
        </w:rPr>
      </w:pPr>
      <w:r w:rsidRPr="00143096">
        <w:rPr>
          <w:sz w:val="24"/>
          <w:szCs w:val="24"/>
        </w:rPr>
        <w:t>3.2.1</w:t>
      </w:r>
      <w:r w:rsidRPr="00143096">
        <w:rPr>
          <w:sz w:val="24"/>
          <w:szCs w:val="24"/>
        </w:rPr>
        <w:tab/>
      </w:r>
      <w:r w:rsidR="00182BDF">
        <w:rPr>
          <w:rFonts w:cs="Arial"/>
          <w:sz w:val="24"/>
          <w:szCs w:val="24"/>
        </w:rPr>
        <w:t xml:space="preserve">It was expected that a consultation on a two-year local government settlement would take place before the Parliamentary Recess in July 2022. </w:t>
      </w:r>
      <w:r w:rsidR="004F65FC">
        <w:rPr>
          <w:rFonts w:cs="Arial"/>
          <w:sz w:val="24"/>
          <w:szCs w:val="24"/>
        </w:rPr>
        <w:t>However, this was</w:t>
      </w:r>
      <w:r w:rsidR="00182BDF">
        <w:rPr>
          <w:rFonts w:cs="Arial"/>
          <w:sz w:val="24"/>
          <w:szCs w:val="24"/>
        </w:rPr>
        <w:t xml:space="preserve"> delayed due to the Conservative Party leadership contest, with full reform of local government funding now delayed until 2025/26. Despite this, local authorities such as </w:t>
      </w:r>
      <w:r w:rsidR="00182BDF" w:rsidRPr="00AD0522">
        <w:rPr>
          <w:rFonts w:cs="Arial"/>
          <w:sz w:val="24"/>
          <w:szCs w:val="24"/>
        </w:rPr>
        <w:t>Mansfield District Council</w:t>
      </w:r>
      <w:r w:rsidR="00182BDF">
        <w:rPr>
          <w:rFonts w:cs="Arial"/>
          <w:sz w:val="24"/>
          <w:szCs w:val="24"/>
        </w:rPr>
        <w:t xml:space="preserve"> are still required to produce </w:t>
      </w:r>
      <w:r w:rsidR="002D0C0D">
        <w:rPr>
          <w:rFonts w:cs="Arial"/>
          <w:sz w:val="24"/>
          <w:szCs w:val="24"/>
        </w:rPr>
        <w:t xml:space="preserve">robust </w:t>
      </w:r>
      <w:r w:rsidR="00182BDF">
        <w:rPr>
          <w:rFonts w:cs="Arial"/>
          <w:sz w:val="24"/>
          <w:szCs w:val="24"/>
        </w:rPr>
        <w:t>budget plans</w:t>
      </w:r>
      <w:r w:rsidR="002D0C0D">
        <w:rPr>
          <w:rFonts w:cs="Arial"/>
          <w:sz w:val="24"/>
          <w:szCs w:val="24"/>
        </w:rPr>
        <w:t>.</w:t>
      </w:r>
    </w:p>
    <w:p w:rsidR="00182BDF" w:rsidRDefault="00182BDF" w:rsidP="00143096">
      <w:pPr>
        <w:ind w:left="851" w:hanging="851"/>
        <w:jc w:val="left"/>
        <w:rPr>
          <w:rFonts w:cs="Arial"/>
          <w:sz w:val="24"/>
          <w:szCs w:val="24"/>
        </w:rPr>
      </w:pPr>
    </w:p>
    <w:p w:rsidR="00182BDF" w:rsidRDefault="00182BDF" w:rsidP="00143096">
      <w:pPr>
        <w:ind w:left="851" w:hanging="851"/>
        <w:jc w:val="left"/>
        <w:rPr>
          <w:rFonts w:cs="Arial"/>
          <w:sz w:val="24"/>
          <w:szCs w:val="24"/>
        </w:rPr>
      </w:pPr>
      <w:r>
        <w:rPr>
          <w:rFonts w:cs="Arial"/>
          <w:sz w:val="24"/>
          <w:szCs w:val="24"/>
        </w:rPr>
        <w:t>3.2.2</w:t>
      </w:r>
      <w:r>
        <w:rPr>
          <w:rFonts w:cs="Arial"/>
          <w:sz w:val="24"/>
          <w:szCs w:val="24"/>
        </w:rPr>
        <w:tab/>
      </w:r>
      <w:r w:rsidRPr="00182BDF">
        <w:rPr>
          <w:rFonts w:cs="Arial"/>
          <w:sz w:val="24"/>
          <w:szCs w:val="24"/>
        </w:rPr>
        <w:t>There is no guarantee that, when reform does take place, ministers will go back to the principles and proposals that were developed over the last 5-6 years. Politics have changed, as have the characteristics of local government finance. The sector has received better settlements in recent years, but there is a growing (and unbalancing) reliance on council tax to fund services. There is also pressure to deliver on levelling-up, which might or might not survive a change of prime minister.</w:t>
      </w:r>
    </w:p>
    <w:p w:rsidR="00182BDF" w:rsidRDefault="00182BDF" w:rsidP="00143096">
      <w:pPr>
        <w:ind w:left="851" w:hanging="851"/>
        <w:jc w:val="left"/>
        <w:rPr>
          <w:rFonts w:cs="Arial"/>
          <w:sz w:val="24"/>
          <w:szCs w:val="24"/>
        </w:rPr>
      </w:pPr>
    </w:p>
    <w:p w:rsidR="00182BDF" w:rsidRPr="00143096" w:rsidRDefault="00182BDF" w:rsidP="00143096">
      <w:pPr>
        <w:ind w:left="851" w:hanging="851"/>
        <w:jc w:val="left"/>
        <w:rPr>
          <w:sz w:val="24"/>
          <w:szCs w:val="24"/>
        </w:rPr>
      </w:pPr>
      <w:r>
        <w:rPr>
          <w:rFonts w:cs="Arial"/>
          <w:sz w:val="24"/>
          <w:szCs w:val="24"/>
        </w:rPr>
        <w:t>3.2.3</w:t>
      </w:r>
      <w:r>
        <w:rPr>
          <w:rFonts w:cs="Arial"/>
          <w:sz w:val="24"/>
          <w:szCs w:val="24"/>
        </w:rPr>
        <w:tab/>
      </w:r>
      <w:r w:rsidRPr="001A0528">
        <w:rPr>
          <w:rFonts w:cs="Arial"/>
          <w:sz w:val="24"/>
          <w:szCs w:val="24"/>
        </w:rPr>
        <w:t>For local government,</w:t>
      </w:r>
      <w:r w:rsidR="001A0528" w:rsidRPr="001A0528">
        <w:rPr>
          <w:rFonts w:cs="Arial"/>
          <w:sz w:val="24"/>
          <w:szCs w:val="24"/>
        </w:rPr>
        <w:t xml:space="preserve"> the Local Government Finance Settlement confirmed that additional grant funding has been provided in 2023/24, to assist with increased inflationary pressures. However, this is a one-year settlement, with no indication of whether grant levels will remain the same in 2024/25 or going forwards. Grant amounts confirmed as part of the Settlement are shown in Section 3.4.4.1 of this report.</w:t>
      </w:r>
    </w:p>
    <w:p w:rsidR="00143096" w:rsidRPr="00143096" w:rsidRDefault="00143096" w:rsidP="00143096">
      <w:pPr>
        <w:jc w:val="left"/>
        <w:rPr>
          <w:sz w:val="24"/>
          <w:szCs w:val="24"/>
        </w:rPr>
      </w:pPr>
    </w:p>
    <w:p w:rsidR="00143096" w:rsidRPr="00143096" w:rsidRDefault="00182BDF" w:rsidP="00143096">
      <w:pPr>
        <w:ind w:left="851" w:hanging="851"/>
        <w:jc w:val="left"/>
        <w:rPr>
          <w:rFonts w:cs="Arial"/>
          <w:sz w:val="24"/>
          <w:szCs w:val="24"/>
        </w:rPr>
      </w:pPr>
      <w:r>
        <w:rPr>
          <w:sz w:val="24"/>
          <w:szCs w:val="24"/>
        </w:rPr>
        <w:t>3.2.4</w:t>
      </w:r>
      <w:r w:rsidR="00143096" w:rsidRPr="00143096">
        <w:rPr>
          <w:sz w:val="24"/>
          <w:szCs w:val="24"/>
        </w:rPr>
        <w:tab/>
      </w:r>
      <w:r w:rsidR="00143096" w:rsidRPr="00143096">
        <w:rPr>
          <w:rFonts w:cs="Arial"/>
          <w:color w:val="000000"/>
          <w:sz w:val="24"/>
          <w:szCs w:val="24"/>
        </w:rPr>
        <w:t xml:space="preserve">This budget supports the Council’s priorities communicated in its strategy </w:t>
      </w:r>
      <w:r w:rsidR="00143096" w:rsidRPr="00143096">
        <w:rPr>
          <w:rFonts w:cs="Arial"/>
          <w:b/>
          <w:color w:val="000000"/>
          <w:sz w:val="24"/>
          <w:szCs w:val="24"/>
        </w:rPr>
        <w:t>“Towards 2030; A Strategy for Mansfield”</w:t>
      </w:r>
      <w:r w:rsidR="00143096" w:rsidRPr="00143096">
        <w:rPr>
          <w:rFonts w:cs="Arial"/>
          <w:color w:val="000000"/>
          <w:sz w:val="24"/>
          <w:szCs w:val="24"/>
        </w:rPr>
        <w:t>, and identifies its financial implications. It shows the approach the Council will take in order to deliver its services and priorities within its financial constraints and in doing so, how it will look to provide value for money.</w:t>
      </w:r>
    </w:p>
    <w:p w:rsidR="000069CC" w:rsidRPr="00A867DD" w:rsidRDefault="000069CC" w:rsidP="000069CC">
      <w:pPr>
        <w:autoSpaceDE w:val="0"/>
        <w:autoSpaceDN w:val="0"/>
        <w:adjustRightInd w:val="0"/>
        <w:jc w:val="left"/>
        <w:rPr>
          <w:rFonts w:cs="Arial"/>
          <w:color w:val="000000"/>
          <w:sz w:val="24"/>
          <w:szCs w:val="24"/>
        </w:rPr>
      </w:pPr>
    </w:p>
    <w:p w:rsidR="00D07702" w:rsidRPr="00A867DD" w:rsidRDefault="00D07702" w:rsidP="00F0172B">
      <w:pPr>
        <w:ind w:left="720" w:hanging="720"/>
        <w:rPr>
          <w:rFonts w:cs="Arial"/>
          <w:sz w:val="24"/>
          <w:szCs w:val="24"/>
        </w:rPr>
      </w:pPr>
    </w:p>
    <w:p w:rsidR="00143096" w:rsidRPr="003049A4" w:rsidRDefault="00791A88" w:rsidP="003049A4">
      <w:pPr>
        <w:ind w:left="851" w:hanging="851"/>
        <w:jc w:val="left"/>
        <w:outlineLvl w:val="0"/>
        <w:rPr>
          <w:b/>
          <w:sz w:val="24"/>
          <w:szCs w:val="24"/>
        </w:rPr>
      </w:pPr>
      <w:r w:rsidRPr="00143096">
        <w:rPr>
          <w:b/>
          <w:sz w:val="24"/>
          <w:szCs w:val="24"/>
        </w:rPr>
        <w:t>3.3</w:t>
      </w:r>
      <w:r w:rsidRPr="00143096">
        <w:rPr>
          <w:b/>
          <w:sz w:val="24"/>
          <w:szCs w:val="24"/>
        </w:rPr>
        <w:tab/>
      </w:r>
      <w:r w:rsidR="007B2C4B" w:rsidRPr="00143096">
        <w:rPr>
          <w:b/>
          <w:sz w:val="24"/>
          <w:szCs w:val="24"/>
        </w:rPr>
        <w:t xml:space="preserve">Economic Context </w:t>
      </w:r>
      <w:r w:rsidR="00143096" w:rsidRPr="003049A4">
        <w:rPr>
          <w:rFonts w:cs="Arial"/>
          <w:sz w:val="24"/>
          <w:szCs w:val="24"/>
        </w:rPr>
        <w:t xml:space="preserve"> </w:t>
      </w:r>
    </w:p>
    <w:p w:rsidR="00143096" w:rsidRPr="00143096" w:rsidRDefault="00143096" w:rsidP="00143096">
      <w:pPr>
        <w:pStyle w:val="ListParagraph"/>
        <w:spacing w:after="0"/>
        <w:ind w:left="851" w:hanging="851"/>
        <w:rPr>
          <w:rFonts w:ascii="Arial" w:hAnsi="Arial" w:cs="Arial"/>
          <w:sz w:val="24"/>
          <w:szCs w:val="24"/>
        </w:rPr>
      </w:pPr>
    </w:p>
    <w:p w:rsidR="00143096" w:rsidRPr="002D0C0D" w:rsidRDefault="003049A4" w:rsidP="00143096">
      <w:pPr>
        <w:pStyle w:val="ListParagraph"/>
        <w:spacing w:after="0"/>
        <w:ind w:left="851" w:hanging="851"/>
        <w:rPr>
          <w:rFonts w:ascii="Arial" w:hAnsi="Arial" w:cs="Arial"/>
          <w:sz w:val="24"/>
          <w:szCs w:val="24"/>
        </w:rPr>
      </w:pPr>
      <w:r>
        <w:rPr>
          <w:rFonts w:ascii="Arial" w:hAnsi="Arial" w:cs="Arial"/>
          <w:sz w:val="24"/>
          <w:szCs w:val="24"/>
        </w:rPr>
        <w:t>3.3.1</w:t>
      </w:r>
      <w:r w:rsidR="00143096" w:rsidRPr="00143096">
        <w:rPr>
          <w:rFonts w:ascii="Arial" w:hAnsi="Arial" w:cs="Arial"/>
          <w:sz w:val="24"/>
          <w:szCs w:val="24"/>
        </w:rPr>
        <w:tab/>
      </w:r>
      <w:r w:rsidR="00143096" w:rsidRPr="002D0C0D">
        <w:rPr>
          <w:rFonts w:ascii="Arial" w:hAnsi="Arial" w:cs="Arial"/>
          <w:sz w:val="24"/>
          <w:szCs w:val="24"/>
        </w:rPr>
        <w:t>As part of the Council’s longer term service and budget planning, account needs to be taken of the impact of a range of options which might affect the national, regional and local economies.  The effect on interest rates, inflation and value of sterling will be felt by the Council, local residents and businesses.</w:t>
      </w:r>
    </w:p>
    <w:p w:rsidR="00143096" w:rsidRPr="00143096" w:rsidRDefault="00143096" w:rsidP="00143096">
      <w:pPr>
        <w:pStyle w:val="ListParagraph"/>
        <w:spacing w:after="0"/>
        <w:ind w:left="851" w:hanging="851"/>
        <w:rPr>
          <w:rFonts w:ascii="Arial" w:hAnsi="Arial" w:cs="Arial"/>
          <w:sz w:val="24"/>
          <w:szCs w:val="24"/>
        </w:rPr>
      </w:pPr>
    </w:p>
    <w:p w:rsidR="00143096" w:rsidRPr="00143096" w:rsidRDefault="00143096" w:rsidP="00143096">
      <w:pPr>
        <w:pStyle w:val="ListParagraph"/>
        <w:spacing w:after="0"/>
        <w:ind w:left="851" w:hanging="851"/>
        <w:rPr>
          <w:rFonts w:ascii="Arial" w:hAnsi="Arial" w:cs="Arial"/>
          <w:sz w:val="24"/>
          <w:szCs w:val="24"/>
        </w:rPr>
      </w:pPr>
      <w:r w:rsidRPr="00143096">
        <w:rPr>
          <w:rFonts w:ascii="Arial" w:hAnsi="Arial" w:cs="Arial"/>
          <w:sz w:val="24"/>
          <w:szCs w:val="24"/>
        </w:rPr>
        <w:t>3.3</w:t>
      </w:r>
      <w:r w:rsidR="003049A4">
        <w:rPr>
          <w:rFonts w:ascii="Arial" w:hAnsi="Arial" w:cs="Arial"/>
          <w:sz w:val="24"/>
          <w:szCs w:val="24"/>
        </w:rPr>
        <w:t>.2</w:t>
      </w:r>
      <w:r w:rsidRPr="00143096">
        <w:rPr>
          <w:rFonts w:ascii="Arial" w:hAnsi="Arial" w:cs="Arial"/>
          <w:sz w:val="24"/>
          <w:szCs w:val="24"/>
        </w:rPr>
        <w:tab/>
        <w:t xml:space="preserve">The Bank of England base dropped to a historic low level of 0.1% in March 2020, in response to the Covid-19 pandemic and subsequent national lockdowns. </w:t>
      </w:r>
      <w:r w:rsidR="008F019B">
        <w:rPr>
          <w:rFonts w:ascii="Arial" w:hAnsi="Arial" w:cs="Arial"/>
          <w:sz w:val="24"/>
          <w:szCs w:val="24"/>
        </w:rPr>
        <w:t>However, since the beginning of 2022, the base rate has been rising again, and is currently at 2.25%, the highest it has been since 2008. The base rate is not expected to decrease again in 2023/24, as the Bank of England is using interest rate rises to try to tame ever-increasing inflation.</w:t>
      </w:r>
    </w:p>
    <w:p w:rsidR="00143096" w:rsidRPr="00143096" w:rsidRDefault="00143096" w:rsidP="00143096">
      <w:pPr>
        <w:pStyle w:val="ListParagraph"/>
        <w:spacing w:after="0"/>
        <w:ind w:left="851" w:hanging="851"/>
        <w:rPr>
          <w:rFonts w:ascii="Arial" w:hAnsi="Arial" w:cs="Arial"/>
          <w:sz w:val="24"/>
          <w:szCs w:val="24"/>
        </w:rPr>
      </w:pPr>
    </w:p>
    <w:p w:rsidR="00143096" w:rsidRPr="00A867DD" w:rsidRDefault="003049A4" w:rsidP="00143096">
      <w:pPr>
        <w:pStyle w:val="ListParagraph"/>
        <w:spacing w:after="0"/>
        <w:ind w:left="851" w:hanging="851"/>
        <w:rPr>
          <w:rFonts w:ascii="Arial" w:hAnsi="Arial" w:cs="Arial"/>
          <w:sz w:val="24"/>
          <w:szCs w:val="24"/>
        </w:rPr>
      </w:pPr>
      <w:r>
        <w:rPr>
          <w:rFonts w:ascii="Arial" w:hAnsi="Arial" w:cs="Arial"/>
          <w:sz w:val="24"/>
          <w:szCs w:val="24"/>
        </w:rPr>
        <w:t>3.3.3</w:t>
      </w:r>
      <w:r w:rsidR="00143096" w:rsidRPr="00143096">
        <w:rPr>
          <w:rFonts w:ascii="Arial" w:hAnsi="Arial" w:cs="Arial"/>
          <w:sz w:val="24"/>
          <w:szCs w:val="24"/>
        </w:rPr>
        <w:tab/>
        <w:t>The Consumer Price Index (CPI), which provides the m</w:t>
      </w:r>
      <w:r w:rsidR="002C529C">
        <w:rPr>
          <w:rFonts w:ascii="Arial" w:hAnsi="Arial" w:cs="Arial"/>
          <w:sz w:val="24"/>
          <w:szCs w:val="24"/>
        </w:rPr>
        <w:t xml:space="preserve">easure for inflation, was at </w:t>
      </w:r>
      <w:r w:rsidR="007311CC">
        <w:rPr>
          <w:rFonts w:ascii="Arial" w:hAnsi="Arial" w:cs="Arial"/>
          <w:sz w:val="24"/>
          <w:szCs w:val="24"/>
        </w:rPr>
        <w:t>10.</w:t>
      </w:r>
      <w:r w:rsidR="007311CC" w:rsidRPr="007311CC">
        <w:rPr>
          <w:rFonts w:ascii="Arial" w:hAnsi="Arial" w:cs="Arial"/>
          <w:sz w:val="24"/>
          <w:szCs w:val="24"/>
        </w:rPr>
        <w:t>1</w:t>
      </w:r>
      <w:r w:rsidR="008F019B" w:rsidRPr="007311CC">
        <w:rPr>
          <w:rFonts w:ascii="Arial" w:hAnsi="Arial" w:cs="Arial"/>
          <w:sz w:val="24"/>
          <w:szCs w:val="24"/>
        </w:rPr>
        <w:t xml:space="preserve">% </w:t>
      </w:r>
      <w:r w:rsidR="00143096" w:rsidRPr="007311CC">
        <w:rPr>
          <w:rFonts w:ascii="Arial" w:hAnsi="Arial" w:cs="Arial"/>
          <w:sz w:val="24"/>
          <w:szCs w:val="24"/>
        </w:rPr>
        <w:t xml:space="preserve">at </w:t>
      </w:r>
      <w:r w:rsidR="002C529C" w:rsidRPr="007311CC">
        <w:rPr>
          <w:rFonts w:ascii="Arial" w:hAnsi="Arial" w:cs="Arial"/>
          <w:sz w:val="24"/>
          <w:szCs w:val="24"/>
        </w:rPr>
        <w:t>September</w:t>
      </w:r>
      <w:r w:rsidR="008F019B" w:rsidRPr="007311CC">
        <w:rPr>
          <w:rFonts w:ascii="Arial" w:hAnsi="Arial" w:cs="Arial"/>
          <w:sz w:val="24"/>
          <w:szCs w:val="24"/>
        </w:rPr>
        <w:t xml:space="preserve"> 2022</w:t>
      </w:r>
      <w:r w:rsidR="00143096" w:rsidRPr="007311CC">
        <w:rPr>
          <w:rFonts w:ascii="Arial" w:hAnsi="Arial" w:cs="Arial"/>
          <w:sz w:val="24"/>
          <w:szCs w:val="24"/>
        </w:rPr>
        <w:t xml:space="preserve">. </w:t>
      </w:r>
      <w:r w:rsidR="008F019B">
        <w:rPr>
          <w:rFonts w:ascii="Arial" w:hAnsi="Arial" w:cs="Arial"/>
          <w:sz w:val="24"/>
          <w:szCs w:val="24"/>
        </w:rPr>
        <w:t xml:space="preserve">In its recent statement, the </w:t>
      </w:r>
      <w:r w:rsidR="008F019B" w:rsidRPr="00143096">
        <w:rPr>
          <w:rFonts w:ascii="Arial" w:hAnsi="Arial" w:cs="Arial"/>
          <w:sz w:val="24"/>
          <w:szCs w:val="24"/>
        </w:rPr>
        <w:t>Bank of England Monetary Policy Report</w:t>
      </w:r>
      <w:r w:rsidR="00145F56">
        <w:rPr>
          <w:rFonts w:ascii="Arial" w:hAnsi="Arial" w:cs="Arial"/>
          <w:sz w:val="24"/>
          <w:szCs w:val="24"/>
        </w:rPr>
        <w:t xml:space="preserve"> stated that the invasion of Ukraine is the </w:t>
      </w:r>
      <w:r w:rsidR="003A4028">
        <w:rPr>
          <w:rFonts w:ascii="Arial" w:hAnsi="Arial" w:cs="Arial"/>
          <w:sz w:val="24"/>
          <w:szCs w:val="24"/>
        </w:rPr>
        <w:t xml:space="preserve">main reason for high energy prices, and those price rises </w:t>
      </w:r>
      <w:r w:rsidR="003A4028" w:rsidRPr="003A4028">
        <w:rPr>
          <w:rFonts w:ascii="Arial" w:hAnsi="Arial" w:cs="Arial"/>
          <w:sz w:val="24"/>
          <w:szCs w:val="24"/>
        </w:rPr>
        <w:t>will push inflation even higher over the next few months, to around 13%.</w:t>
      </w:r>
      <w:r w:rsidR="003A4028">
        <w:rPr>
          <w:rFonts w:ascii="Arial" w:hAnsi="Arial" w:cs="Arial"/>
          <w:sz w:val="24"/>
          <w:szCs w:val="24"/>
        </w:rPr>
        <w:t xml:space="preserve"> However, it is unlikely that the price of energy will continue to rise as rapidly as it has in recent months. The M</w:t>
      </w:r>
      <w:r w:rsidR="002930C6">
        <w:rPr>
          <w:rFonts w:ascii="Arial" w:hAnsi="Arial" w:cs="Arial"/>
          <w:sz w:val="24"/>
          <w:szCs w:val="24"/>
        </w:rPr>
        <w:t xml:space="preserve">onetary </w:t>
      </w:r>
      <w:r w:rsidR="003A4028">
        <w:rPr>
          <w:rFonts w:ascii="Arial" w:hAnsi="Arial" w:cs="Arial"/>
          <w:sz w:val="24"/>
          <w:szCs w:val="24"/>
        </w:rPr>
        <w:t>P</w:t>
      </w:r>
      <w:r w:rsidR="002930C6">
        <w:rPr>
          <w:rFonts w:ascii="Arial" w:hAnsi="Arial" w:cs="Arial"/>
          <w:sz w:val="24"/>
          <w:szCs w:val="24"/>
        </w:rPr>
        <w:t xml:space="preserve">olicy </w:t>
      </w:r>
      <w:r w:rsidR="003A4028">
        <w:rPr>
          <w:rFonts w:ascii="Arial" w:hAnsi="Arial" w:cs="Arial"/>
          <w:sz w:val="24"/>
          <w:szCs w:val="24"/>
        </w:rPr>
        <w:t>C</w:t>
      </w:r>
      <w:r w:rsidR="002930C6">
        <w:rPr>
          <w:rFonts w:ascii="Arial" w:hAnsi="Arial" w:cs="Arial"/>
          <w:sz w:val="24"/>
          <w:szCs w:val="24"/>
        </w:rPr>
        <w:t>ommittee</w:t>
      </w:r>
      <w:r w:rsidR="003A4028">
        <w:rPr>
          <w:rFonts w:ascii="Arial" w:hAnsi="Arial" w:cs="Arial"/>
          <w:sz w:val="24"/>
          <w:szCs w:val="24"/>
        </w:rPr>
        <w:t xml:space="preserve"> expects inflation to begin to fall in 2023, and it will be closer to the target of 2% in around 2 years’ time. </w:t>
      </w:r>
    </w:p>
    <w:p w:rsidR="00143096" w:rsidRPr="00656AD3" w:rsidRDefault="00143096" w:rsidP="00143096">
      <w:pPr>
        <w:jc w:val="left"/>
        <w:rPr>
          <w:b/>
          <w:sz w:val="24"/>
          <w:szCs w:val="24"/>
        </w:rPr>
      </w:pPr>
    </w:p>
    <w:p w:rsidR="004E54C2" w:rsidRDefault="004E54C2">
      <w:pPr>
        <w:jc w:val="left"/>
        <w:rPr>
          <w:b/>
          <w:sz w:val="24"/>
          <w:szCs w:val="24"/>
        </w:rPr>
      </w:pPr>
    </w:p>
    <w:p w:rsidR="00206E68" w:rsidRDefault="00394E10">
      <w:pPr>
        <w:jc w:val="left"/>
        <w:rPr>
          <w:b/>
          <w:sz w:val="24"/>
          <w:szCs w:val="24"/>
        </w:rPr>
      </w:pPr>
      <w:r>
        <w:rPr>
          <w:b/>
          <w:sz w:val="24"/>
          <w:szCs w:val="24"/>
        </w:rPr>
        <w:t>3.4</w:t>
      </w:r>
      <w:r>
        <w:rPr>
          <w:b/>
          <w:sz w:val="24"/>
          <w:szCs w:val="24"/>
        </w:rPr>
        <w:tab/>
      </w:r>
      <w:r w:rsidR="00206E68">
        <w:rPr>
          <w:b/>
          <w:sz w:val="24"/>
          <w:szCs w:val="24"/>
        </w:rPr>
        <w:t>General Fund</w:t>
      </w:r>
    </w:p>
    <w:p w:rsidR="00206E68" w:rsidRDefault="00206E68">
      <w:pPr>
        <w:jc w:val="left"/>
        <w:rPr>
          <w:b/>
          <w:sz w:val="24"/>
          <w:szCs w:val="24"/>
        </w:rPr>
      </w:pPr>
    </w:p>
    <w:p w:rsidR="00C56FAB" w:rsidRPr="00243580" w:rsidRDefault="00E55E6B" w:rsidP="0073669D">
      <w:pPr>
        <w:ind w:left="851" w:hanging="851"/>
        <w:jc w:val="left"/>
        <w:rPr>
          <w:b/>
          <w:sz w:val="24"/>
          <w:szCs w:val="24"/>
        </w:rPr>
      </w:pPr>
      <w:r w:rsidRPr="00656AD3">
        <w:rPr>
          <w:b/>
          <w:sz w:val="24"/>
          <w:szCs w:val="24"/>
        </w:rPr>
        <w:t>3.</w:t>
      </w:r>
      <w:r w:rsidR="00E500A8">
        <w:rPr>
          <w:b/>
          <w:sz w:val="24"/>
          <w:szCs w:val="24"/>
        </w:rPr>
        <w:t>4.</w:t>
      </w:r>
      <w:r w:rsidR="00DF553C">
        <w:rPr>
          <w:b/>
          <w:sz w:val="24"/>
          <w:szCs w:val="24"/>
        </w:rPr>
        <w:t>1</w:t>
      </w:r>
      <w:r w:rsidR="00FD10AF" w:rsidRPr="00656AD3">
        <w:rPr>
          <w:b/>
          <w:sz w:val="24"/>
          <w:szCs w:val="24"/>
        </w:rPr>
        <w:tab/>
      </w:r>
      <w:r w:rsidR="007927D9">
        <w:rPr>
          <w:b/>
          <w:sz w:val="24"/>
          <w:szCs w:val="24"/>
        </w:rPr>
        <w:t>General Fund</w:t>
      </w:r>
      <w:r w:rsidR="007927D9" w:rsidRPr="00656AD3">
        <w:rPr>
          <w:b/>
          <w:sz w:val="24"/>
          <w:szCs w:val="24"/>
        </w:rPr>
        <w:t xml:space="preserve"> </w:t>
      </w:r>
      <w:r w:rsidR="00014D0A" w:rsidRPr="00656AD3">
        <w:rPr>
          <w:b/>
          <w:sz w:val="24"/>
          <w:szCs w:val="24"/>
        </w:rPr>
        <w:t>P</w:t>
      </w:r>
      <w:r w:rsidR="00C56FAB" w:rsidRPr="00656AD3">
        <w:rPr>
          <w:b/>
          <w:sz w:val="24"/>
          <w:szCs w:val="24"/>
        </w:rPr>
        <w:t xml:space="preserve">roposed </w:t>
      </w:r>
      <w:r w:rsidR="00014D0A" w:rsidRPr="00656AD3">
        <w:rPr>
          <w:b/>
          <w:sz w:val="24"/>
          <w:szCs w:val="24"/>
        </w:rPr>
        <w:t>Budgets</w:t>
      </w:r>
      <w:r w:rsidR="007927D9">
        <w:rPr>
          <w:b/>
          <w:sz w:val="24"/>
          <w:szCs w:val="24"/>
        </w:rPr>
        <w:t xml:space="preserve">, </w:t>
      </w:r>
      <w:r w:rsidR="00737CBD">
        <w:rPr>
          <w:b/>
          <w:sz w:val="24"/>
          <w:szCs w:val="24"/>
        </w:rPr>
        <w:t>202</w:t>
      </w:r>
      <w:r w:rsidR="00595BD2">
        <w:rPr>
          <w:b/>
          <w:sz w:val="24"/>
          <w:szCs w:val="24"/>
        </w:rPr>
        <w:t>3</w:t>
      </w:r>
      <w:r w:rsidR="00737CBD">
        <w:rPr>
          <w:b/>
          <w:sz w:val="24"/>
          <w:szCs w:val="24"/>
        </w:rPr>
        <w:t>/2</w:t>
      </w:r>
      <w:r w:rsidR="00595BD2">
        <w:rPr>
          <w:b/>
          <w:sz w:val="24"/>
          <w:szCs w:val="24"/>
        </w:rPr>
        <w:t>4</w:t>
      </w:r>
      <w:r w:rsidR="00737CBD">
        <w:rPr>
          <w:b/>
          <w:sz w:val="24"/>
          <w:szCs w:val="24"/>
        </w:rPr>
        <w:t xml:space="preserve"> to 202</w:t>
      </w:r>
      <w:r w:rsidR="00595BD2">
        <w:rPr>
          <w:b/>
          <w:sz w:val="24"/>
          <w:szCs w:val="24"/>
        </w:rPr>
        <w:t>5</w:t>
      </w:r>
      <w:r w:rsidR="00737CBD">
        <w:rPr>
          <w:b/>
          <w:sz w:val="24"/>
          <w:szCs w:val="24"/>
        </w:rPr>
        <w:t>/2</w:t>
      </w:r>
      <w:r w:rsidR="00595BD2">
        <w:rPr>
          <w:b/>
          <w:sz w:val="24"/>
          <w:szCs w:val="24"/>
        </w:rPr>
        <w:t>6</w:t>
      </w:r>
    </w:p>
    <w:p w:rsidR="00506028" w:rsidRPr="00656AD3" w:rsidRDefault="00506028" w:rsidP="0073669D">
      <w:pPr>
        <w:ind w:left="851" w:hanging="851"/>
        <w:jc w:val="left"/>
        <w:rPr>
          <w:sz w:val="24"/>
          <w:szCs w:val="24"/>
        </w:rPr>
      </w:pPr>
    </w:p>
    <w:p w:rsidR="00E53785" w:rsidRPr="00E33107" w:rsidRDefault="00502549" w:rsidP="006700E0">
      <w:pPr>
        <w:ind w:left="851" w:hanging="851"/>
        <w:jc w:val="left"/>
        <w:rPr>
          <w:sz w:val="24"/>
          <w:szCs w:val="24"/>
        </w:rPr>
      </w:pPr>
      <w:r w:rsidRPr="00656AD3">
        <w:rPr>
          <w:sz w:val="24"/>
          <w:szCs w:val="24"/>
        </w:rPr>
        <w:t>3.</w:t>
      </w:r>
      <w:r w:rsidR="00E500A8">
        <w:rPr>
          <w:sz w:val="24"/>
          <w:szCs w:val="24"/>
        </w:rPr>
        <w:t>4.</w:t>
      </w:r>
      <w:r w:rsidR="00DF553C">
        <w:rPr>
          <w:sz w:val="24"/>
          <w:szCs w:val="24"/>
        </w:rPr>
        <w:t>1</w:t>
      </w:r>
      <w:r w:rsidRPr="00656AD3">
        <w:rPr>
          <w:sz w:val="24"/>
          <w:szCs w:val="24"/>
        </w:rPr>
        <w:t>.1</w:t>
      </w:r>
      <w:r w:rsidRPr="00656AD3">
        <w:rPr>
          <w:sz w:val="24"/>
          <w:szCs w:val="24"/>
        </w:rPr>
        <w:tab/>
      </w:r>
      <w:r w:rsidR="00692568">
        <w:rPr>
          <w:sz w:val="24"/>
          <w:szCs w:val="24"/>
        </w:rPr>
        <w:t>Appendix</w:t>
      </w:r>
      <w:r w:rsidR="00C82960" w:rsidRPr="00E33107">
        <w:rPr>
          <w:sz w:val="24"/>
          <w:szCs w:val="24"/>
        </w:rPr>
        <w:t xml:space="preserve"> </w:t>
      </w:r>
      <w:r w:rsidR="00054514" w:rsidRPr="00E33107">
        <w:rPr>
          <w:sz w:val="24"/>
          <w:szCs w:val="24"/>
        </w:rPr>
        <w:t>1</w:t>
      </w:r>
      <w:r w:rsidR="00274D59" w:rsidRPr="00E33107">
        <w:rPr>
          <w:sz w:val="24"/>
          <w:szCs w:val="24"/>
        </w:rPr>
        <w:t xml:space="preserve"> </w:t>
      </w:r>
      <w:r w:rsidR="00C82960" w:rsidRPr="00E33107">
        <w:rPr>
          <w:sz w:val="24"/>
          <w:szCs w:val="24"/>
        </w:rPr>
        <w:t xml:space="preserve">shows the base budget projected for each of the Council’s </w:t>
      </w:r>
      <w:r w:rsidR="00DD5C84">
        <w:rPr>
          <w:sz w:val="24"/>
          <w:szCs w:val="24"/>
        </w:rPr>
        <w:t>service areas</w:t>
      </w:r>
      <w:r w:rsidR="00595BD2">
        <w:rPr>
          <w:sz w:val="24"/>
          <w:szCs w:val="24"/>
        </w:rPr>
        <w:t xml:space="preserve"> for the </w:t>
      </w:r>
      <w:r w:rsidR="00737CBD">
        <w:rPr>
          <w:sz w:val="24"/>
          <w:szCs w:val="24"/>
        </w:rPr>
        <w:t>2023</w:t>
      </w:r>
      <w:r w:rsidR="00775F72" w:rsidRPr="00E33107">
        <w:rPr>
          <w:sz w:val="24"/>
          <w:szCs w:val="24"/>
        </w:rPr>
        <w:t>/2</w:t>
      </w:r>
      <w:r w:rsidR="00737CBD">
        <w:rPr>
          <w:sz w:val="24"/>
          <w:szCs w:val="24"/>
        </w:rPr>
        <w:t>4</w:t>
      </w:r>
      <w:r w:rsidR="00595BD2">
        <w:rPr>
          <w:sz w:val="24"/>
          <w:szCs w:val="24"/>
        </w:rPr>
        <w:t xml:space="preserve">, </w:t>
      </w:r>
      <w:r w:rsidR="00775F72" w:rsidRPr="00E33107">
        <w:rPr>
          <w:sz w:val="24"/>
          <w:szCs w:val="24"/>
        </w:rPr>
        <w:t>202</w:t>
      </w:r>
      <w:r w:rsidR="00737CBD">
        <w:rPr>
          <w:sz w:val="24"/>
          <w:szCs w:val="24"/>
        </w:rPr>
        <w:t>4</w:t>
      </w:r>
      <w:r w:rsidR="00775F72" w:rsidRPr="00E33107">
        <w:rPr>
          <w:sz w:val="24"/>
          <w:szCs w:val="24"/>
        </w:rPr>
        <w:t>/2</w:t>
      </w:r>
      <w:r w:rsidR="00737CBD">
        <w:rPr>
          <w:sz w:val="24"/>
          <w:szCs w:val="24"/>
        </w:rPr>
        <w:t>5</w:t>
      </w:r>
      <w:r w:rsidR="00595BD2">
        <w:rPr>
          <w:sz w:val="24"/>
          <w:szCs w:val="24"/>
        </w:rPr>
        <w:t xml:space="preserve"> and 2025/26</w:t>
      </w:r>
      <w:r w:rsidR="00DD5C84">
        <w:rPr>
          <w:sz w:val="24"/>
          <w:szCs w:val="24"/>
        </w:rPr>
        <w:t xml:space="preserve"> financial years</w:t>
      </w:r>
      <w:r w:rsidR="00C82960" w:rsidRPr="00E33107">
        <w:rPr>
          <w:sz w:val="24"/>
          <w:szCs w:val="24"/>
        </w:rPr>
        <w:t>.</w:t>
      </w:r>
      <w:r w:rsidR="006700E0">
        <w:rPr>
          <w:sz w:val="24"/>
          <w:szCs w:val="24"/>
        </w:rPr>
        <w:t xml:space="preserve"> </w:t>
      </w:r>
    </w:p>
    <w:p w:rsidR="002017BD" w:rsidRPr="00656AD3" w:rsidRDefault="002017BD" w:rsidP="006700E0">
      <w:pPr>
        <w:rPr>
          <w:sz w:val="24"/>
          <w:szCs w:val="24"/>
        </w:rPr>
      </w:pPr>
    </w:p>
    <w:p w:rsidR="004E3A16" w:rsidRPr="00E33107" w:rsidRDefault="00791A88" w:rsidP="0073669D">
      <w:pPr>
        <w:ind w:left="851" w:hanging="851"/>
        <w:jc w:val="left"/>
        <w:rPr>
          <w:sz w:val="24"/>
          <w:szCs w:val="24"/>
        </w:rPr>
      </w:pPr>
      <w:r w:rsidRPr="00656AD3">
        <w:rPr>
          <w:sz w:val="24"/>
          <w:szCs w:val="24"/>
        </w:rPr>
        <w:t>3.</w:t>
      </w:r>
      <w:r w:rsidR="00E500A8">
        <w:rPr>
          <w:sz w:val="24"/>
          <w:szCs w:val="24"/>
        </w:rPr>
        <w:t>4.</w:t>
      </w:r>
      <w:r w:rsidR="00DF553C">
        <w:rPr>
          <w:sz w:val="24"/>
          <w:szCs w:val="24"/>
        </w:rPr>
        <w:t>1</w:t>
      </w:r>
      <w:r w:rsidRPr="00656AD3">
        <w:rPr>
          <w:sz w:val="24"/>
          <w:szCs w:val="24"/>
        </w:rPr>
        <w:t>.2</w:t>
      </w:r>
      <w:r w:rsidRPr="00656AD3">
        <w:rPr>
          <w:sz w:val="24"/>
          <w:szCs w:val="24"/>
        </w:rPr>
        <w:tab/>
      </w:r>
      <w:r w:rsidR="00692568">
        <w:rPr>
          <w:sz w:val="24"/>
          <w:szCs w:val="24"/>
        </w:rPr>
        <w:t>Appendix</w:t>
      </w:r>
      <w:r w:rsidR="00FA1885" w:rsidRPr="00E33107">
        <w:rPr>
          <w:sz w:val="24"/>
          <w:szCs w:val="24"/>
        </w:rPr>
        <w:t xml:space="preserve"> </w:t>
      </w:r>
      <w:r w:rsidR="00054514" w:rsidRPr="00E33107">
        <w:rPr>
          <w:sz w:val="24"/>
          <w:szCs w:val="24"/>
        </w:rPr>
        <w:t>1</w:t>
      </w:r>
      <w:r w:rsidR="00FA1885" w:rsidRPr="00E33107">
        <w:rPr>
          <w:sz w:val="24"/>
          <w:szCs w:val="24"/>
        </w:rPr>
        <w:t xml:space="preserve"> shows a deficit on the General Fund revenue budget of </w:t>
      </w:r>
      <w:r w:rsidR="00D9470D" w:rsidRPr="007311CC">
        <w:rPr>
          <w:sz w:val="24"/>
          <w:szCs w:val="24"/>
        </w:rPr>
        <w:t>£</w:t>
      </w:r>
      <w:r w:rsidR="0089535A">
        <w:rPr>
          <w:sz w:val="24"/>
          <w:szCs w:val="24"/>
        </w:rPr>
        <w:t>1,339</w:t>
      </w:r>
      <w:r w:rsidR="00D9470D" w:rsidRPr="007311CC">
        <w:rPr>
          <w:sz w:val="24"/>
          <w:szCs w:val="24"/>
        </w:rPr>
        <w:t xml:space="preserve">,000 </w:t>
      </w:r>
      <w:r w:rsidR="00FA1885" w:rsidRPr="007311CC">
        <w:rPr>
          <w:sz w:val="24"/>
          <w:szCs w:val="24"/>
        </w:rPr>
        <w:t xml:space="preserve">for </w:t>
      </w:r>
      <w:r w:rsidR="00595BD2">
        <w:rPr>
          <w:sz w:val="24"/>
          <w:szCs w:val="24"/>
        </w:rPr>
        <w:t>2023</w:t>
      </w:r>
      <w:r w:rsidR="00737CBD">
        <w:rPr>
          <w:sz w:val="24"/>
          <w:szCs w:val="24"/>
        </w:rPr>
        <w:t>/2</w:t>
      </w:r>
      <w:r w:rsidR="00595BD2">
        <w:rPr>
          <w:sz w:val="24"/>
          <w:szCs w:val="24"/>
        </w:rPr>
        <w:t>4</w:t>
      </w:r>
      <w:r w:rsidR="00FA1885" w:rsidRPr="00E33107">
        <w:rPr>
          <w:sz w:val="24"/>
          <w:szCs w:val="24"/>
        </w:rPr>
        <w:t xml:space="preserve"> with annual increases thereafter.</w:t>
      </w:r>
      <w:r w:rsidR="008C6DB1" w:rsidRPr="00E33107">
        <w:rPr>
          <w:sz w:val="24"/>
          <w:szCs w:val="24"/>
        </w:rPr>
        <w:t xml:space="preserve">  </w:t>
      </w:r>
      <w:r w:rsidR="00680B13">
        <w:rPr>
          <w:sz w:val="24"/>
          <w:szCs w:val="24"/>
        </w:rPr>
        <w:t>Proposals to mitigate this def</w:t>
      </w:r>
      <w:r w:rsidR="00932D3C">
        <w:rPr>
          <w:sz w:val="24"/>
          <w:szCs w:val="24"/>
        </w:rPr>
        <w:t>icit are found within Appendix 2</w:t>
      </w:r>
      <w:r w:rsidR="00680B13">
        <w:rPr>
          <w:sz w:val="24"/>
          <w:szCs w:val="24"/>
        </w:rPr>
        <w:t>.</w:t>
      </w:r>
    </w:p>
    <w:p w:rsidR="00246B93" w:rsidRPr="00E33107" w:rsidRDefault="00246B93" w:rsidP="00FD6481">
      <w:pPr>
        <w:rPr>
          <w:sz w:val="24"/>
          <w:szCs w:val="24"/>
        </w:rPr>
      </w:pPr>
    </w:p>
    <w:p w:rsidR="00D53468" w:rsidRPr="00E33107" w:rsidRDefault="00791A88" w:rsidP="0073669D">
      <w:pPr>
        <w:ind w:left="851" w:hanging="851"/>
        <w:jc w:val="left"/>
        <w:rPr>
          <w:sz w:val="24"/>
          <w:szCs w:val="24"/>
        </w:rPr>
      </w:pPr>
      <w:r w:rsidRPr="00E33107">
        <w:rPr>
          <w:sz w:val="24"/>
          <w:szCs w:val="24"/>
        </w:rPr>
        <w:t>3.</w:t>
      </w:r>
      <w:r w:rsidR="00E500A8" w:rsidRPr="00E33107">
        <w:rPr>
          <w:sz w:val="24"/>
          <w:szCs w:val="24"/>
        </w:rPr>
        <w:t>4.</w:t>
      </w:r>
      <w:r w:rsidR="00DF553C" w:rsidRPr="00E33107">
        <w:rPr>
          <w:sz w:val="24"/>
          <w:szCs w:val="24"/>
        </w:rPr>
        <w:t>1</w:t>
      </w:r>
      <w:r w:rsidRPr="00E33107">
        <w:rPr>
          <w:sz w:val="24"/>
          <w:szCs w:val="24"/>
        </w:rPr>
        <w:t>.</w:t>
      </w:r>
      <w:r w:rsidR="00FD6481">
        <w:rPr>
          <w:sz w:val="24"/>
          <w:szCs w:val="24"/>
        </w:rPr>
        <w:t>3</w:t>
      </w:r>
      <w:r w:rsidRPr="00E33107">
        <w:rPr>
          <w:sz w:val="24"/>
          <w:szCs w:val="24"/>
        </w:rPr>
        <w:tab/>
      </w:r>
      <w:r w:rsidR="00D53468" w:rsidRPr="00E33107">
        <w:rPr>
          <w:sz w:val="24"/>
          <w:szCs w:val="24"/>
        </w:rPr>
        <w:t xml:space="preserve">The deficit </w:t>
      </w:r>
      <w:r w:rsidR="00D53468" w:rsidRPr="00E3394A">
        <w:rPr>
          <w:sz w:val="24"/>
          <w:szCs w:val="24"/>
        </w:rPr>
        <w:t>of £</w:t>
      </w:r>
      <w:r w:rsidR="0089535A">
        <w:rPr>
          <w:sz w:val="24"/>
          <w:szCs w:val="24"/>
        </w:rPr>
        <w:t>1,339</w:t>
      </w:r>
      <w:r w:rsidR="00D9470D" w:rsidRPr="00E3394A">
        <w:rPr>
          <w:sz w:val="24"/>
          <w:szCs w:val="24"/>
        </w:rPr>
        <w:t>,000</w:t>
      </w:r>
      <w:r w:rsidR="00D07702" w:rsidRPr="00E3394A">
        <w:rPr>
          <w:sz w:val="24"/>
          <w:szCs w:val="24"/>
        </w:rPr>
        <w:t xml:space="preserve"> </w:t>
      </w:r>
      <w:r w:rsidR="00D53468" w:rsidRPr="00E3394A">
        <w:rPr>
          <w:sz w:val="24"/>
          <w:szCs w:val="24"/>
        </w:rPr>
        <w:t>is</w:t>
      </w:r>
      <w:r w:rsidR="00D53468" w:rsidRPr="00E33107">
        <w:rPr>
          <w:sz w:val="24"/>
          <w:szCs w:val="24"/>
        </w:rPr>
        <w:t xml:space="preserve"> before savings and efficiencies have been taken into account, and does not assume any potential increases in Council Tax </w:t>
      </w:r>
      <w:r w:rsidR="002F4EE5" w:rsidRPr="00E33107">
        <w:rPr>
          <w:sz w:val="24"/>
          <w:szCs w:val="24"/>
        </w:rPr>
        <w:t>charged to its residents</w:t>
      </w:r>
      <w:r w:rsidR="0088222A" w:rsidRPr="00E33107">
        <w:rPr>
          <w:sz w:val="24"/>
          <w:szCs w:val="24"/>
        </w:rPr>
        <w:t>.</w:t>
      </w:r>
    </w:p>
    <w:p w:rsidR="00D53468" w:rsidRPr="00E33107" w:rsidRDefault="00D53468" w:rsidP="0073669D">
      <w:pPr>
        <w:ind w:left="851" w:hanging="851"/>
        <w:jc w:val="left"/>
        <w:rPr>
          <w:sz w:val="24"/>
          <w:szCs w:val="24"/>
        </w:rPr>
      </w:pPr>
    </w:p>
    <w:p w:rsidR="00D53468" w:rsidRPr="00656AD3" w:rsidRDefault="00791A88" w:rsidP="0073669D">
      <w:pPr>
        <w:ind w:left="851" w:hanging="851"/>
        <w:jc w:val="left"/>
        <w:rPr>
          <w:sz w:val="24"/>
          <w:szCs w:val="24"/>
        </w:rPr>
      </w:pPr>
      <w:r w:rsidRPr="00E33107">
        <w:rPr>
          <w:sz w:val="24"/>
          <w:szCs w:val="24"/>
        </w:rPr>
        <w:t>3.</w:t>
      </w:r>
      <w:r w:rsidR="00E500A8" w:rsidRPr="00E33107">
        <w:rPr>
          <w:sz w:val="24"/>
          <w:szCs w:val="24"/>
        </w:rPr>
        <w:t>4.</w:t>
      </w:r>
      <w:r w:rsidR="00DF553C" w:rsidRPr="00E33107">
        <w:rPr>
          <w:sz w:val="24"/>
          <w:szCs w:val="24"/>
        </w:rPr>
        <w:t>1</w:t>
      </w:r>
      <w:r w:rsidR="00FD6481">
        <w:rPr>
          <w:sz w:val="24"/>
          <w:szCs w:val="24"/>
        </w:rPr>
        <w:t>.4</w:t>
      </w:r>
      <w:r w:rsidRPr="00E33107">
        <w:rPr>
          <w:sz w:val="24"/>
          <w:szCs w:val="24"/>
        </w:rPr>
        <w:tab/>
      </w:r>
      <w:r w:rsidR="00D53468" w:rsidRPr="00E33107">
        <w:rPr>
          <w:sz w:val="24"/>
          <w:szCs w:val="24"/>
        </w:rPr>
        <w:t>The figures contained wi</w:t>
      </w:r>
      <w:r w:rsidR="00692568">
        <w:rPr>
          <w:sz w:val="24"/>
          <w:szCs w:val="24"/>
        </w:rPr>
        <w:t>thin Appendix</w:t>
      </w:r>
      <w:r w:rsidR="00D53468" w:rsidRPr="00E33107">
        <w:rPr>
          <w:sz w:val="24"/>
          <w:szCs w:val="24"/>
        </w:rPr>
        <w:t xml:space="preserve"> </w:t>
      </w:r>
      <w:r w:rsidR="00054514" w:rsidRPr="00E33107">
        <w:rPr>
          <w:sz w:val="24"/>
          <w:szCs w:val="24"/>
        </w:rPr>
        <w:t>1</w:t>
      </w:r>
      <w:r w:rsidR="00D53468" w:rsidRPr="00E33107">
        <w:rPr>
          <w:sz w:val="24"/>
          <w:szCs w:val="24"/>
        </w:rPr>
        <w:t xml:space="preserve"> do not include any service developments put forward by </w:t>
      </w:r>
      <w:r w:rsidR="0086594C">
        <w:rPr>
          <w:sz w:val="24"/>
          <w:szCs w:val="24"/>
        </w:rPr>
        <w:t>service areas</w:t>
      </w:r>
      <w:r w:rsidR="00D53468" w:rsidRPr="00656AD3">
        <w:rPr>
          <w:sz w:val="24"/>
          <w:szCs w:val="24"/>
        </w:rPr>
        <w:t xml:space="preserve"> and do not include any potential supporting finance from the Council’s balances or earmarked reserves.</w:t>
      </w:r>
    </w:p>
    <w:p w:rsidR="0086594C" w:rsidRPr="00CB1FC6" w:rsidRDefault="0086594C" w:rsidP="00CB1FC6">
      <w:pPr>
        <w:jc w:val="left"/>
        <w:rPr>
          <w:sz w:val="24"/>
          <w:szCs w:val="24"/>
        </w:rPr>
      </w:pPr>
    </w:p>
    <w:p w:rsidR="00775F72" w:rsidRPr="00656AD3" w:rsidRDefault="00775F72" w:rsidP="0073669D">
      <w:pPr>
        <w:ind w:left="851" w:hanging="851"/>
        <w:jc w:val="left"/>
        <w:rPr>
          <w:b/>
          <w:sz w:val="24"/>
          <w:szCs w:val="24"/>
        </w:rPr>
      </w:pPr>
    </w:p>
    <w:p w:rsidR="00EA0124" w:rsidRPr="00656AD3" w:rsidRDefault="00EA0124" w:rsidP="0073669D">
      <w:pPr>
        <w:ind w:left="851" w:hanging="851"/>
        <w:jc w:val="left"/>
        <w:outlineLvl w:val="0"/>
        <w:rPr>
          <w:rFonts w:cs="Arial"/>
          <w:b/>
          <w:sz w:val="24"/>
          <w:szCs w:val="24"/>
        </w:rPr>
      </w:pPr>
      <w:r w:rsidRPr="00990FB6">
        <w:rPr>
          <w:rFonts w:cs="Arial"/>
          <w:b/>
          <w:sz w:val="24"/>
          <w:szCs w:val="24"/>
        </w:rPr>
        <w:t>3.</w:t>
      </w:r>
      <w:r w:rsidR="00E500A8" w:rsidRPr="00990FB6">
        <w:rPr>
          <w:rFonts w:cs="Arial"/>
          <w:b/>
          <w:sz w:val="24"/>
          <w:szCs w:val="24"/>
        </w:rPr>
        <w:t>4.</w:t>
      </w:r>
      <w:r w:rsidR="00022AA5">
        <w:rPr>
          <w:rFonts w:cs="Arial"/>
          <w:b/>
          <w:sz w:val="24"/>
          <w:szCs w:val="24"/>
        </w:rPr>
        <w:t>2</w:t>
      </w:r>
      <w:r w:rsidRPr="00990FB6">
        <w:rPr>
          <w:rFonts w:cs="Arial"/>
          <w:b/>
          <w:sz w:val="24"/>
          <w:szCs w:val="24"/>
        </w:rPr>
        <w:tab/>
        <w:t>Proposed Savings and Efficiencies</w:t>
      </w:r>
    </w:p>
    <w:p w:rsidR="00EA0124" w:rsidRPr="00656AD3" w:rsidRDefault="00EA0124" w:rsidP="0073669D">
      <w:pPr>
        <w:ind w:left="851" w:hanging="851"/>
        <w:jc w:val="left"/>
        <w:rPr>
          <w:sz w:val="24"/>
          <w:szCs w:val="24"/>
        </w:rPr>
      </w:pPr>
    </w:p>
    <w:p w:rsidR="00EA0124" w:rsidRDefault="00EA0124" w:rsidP="0073669D">
      <w:pPr>
        <w:pStyle w:val="Default"/>
        <w:ind w:left="851" w:hanging="851"/>
      </w:pPr>
      <w:r w:rsidRPr="00656AD3">
        <w:t>3.</w:t>
      </w:r>
      <w:r w:rsidR="00E500A8">
        <w:t>4.</w:t>
      </w:r>
      <w:r w:rsidR="00022AA5">
        <w:t>2</w:t>
      </w:r>
      <w:r w:rsidR="00E500A8">
        <w:t xml:space="preserve">.1 </w:t>
      </w:r>
      <w:r w:rsidRPr="00656AD3">
        <w:t xml:space="preserve">Mansfield District Council is an ambitious Council committed to continuous improvement and the delivery of better outcomes for its customers, partners, employees and </w:t>
      </w:r>
      <w:r w:rsidR="00DF553C">
        <w:t>m</w:t>
      </w:r>
      <w:r w:rsidR="00DF553C" w:rsidRPr="00656AD3">
        <w:t>embers</w:t>
      </w:r>
      <w:r w:rsidRPr="00656AD3">
        <w:t xml:space="preserve">. </w:t>
      </w:r>
    </w:p>
    <w:p w:rsidR="00EA0124" w:rsidRPr="00656AD3" w:rsidRDefault="00EA0124" w:rsidP="0073669D">
      <w:pPr>
        <w:pStyle w:val="Default"/>
        <w:ind w:left="851" w:hanging="851"/>
      </w:pPr>
    </w:p>
    <w:p w:rsidR="00EA0124" w:rsidRPr="00656AD3" w:rsidRDefault="00EA0124" w:rsidP="0073669D">
      <w:pPr>
        <w:pStyle w:val="Default"/>
        <w:ind w:left="851" w:hanging="851"/>
      </w:pPr>
      <w:r w:rsidRPr="00656AD3">
        <w:t>3.</w:t>
      </w:r>
      <w:r w:rsidR="00E500A8">
        <w:t>4.</w:t>
      </w:r>
      <w:r w:rsidR="00022AA5">
        <w:t>2</w:t>
      </w:r>
      <w:r w:rsidR="00E500A8">
        <w:t xml:space="preserve">.2 </w:t>
      </w:r>
      <w:r w:rsidRPr="00656AD3">
        <w:t>The Council recognises that the future for local government is one of significant change</w:t>
      </w:r>
      <w:r>
        <w:t>.  Over the last decade the role of Local Authorities has changed significantly, set against a backdrop of reduced grant r</w:t>
      </w:r>
      <w:r w:rsidR="00D9470D">
        <w:t>eceived from Central Government</w:t>
      </w:r>
      <w:r>
        <w:t xml:space="preserve"> that had previously been made available to support Local Authorities in delivering core statutory services</w:t>
      </w:r>
      <w:r w:rsidR="002D0C0D">
        <w:t>.</w:t>
      </w:r>
      <w:r w:rsidRPr="00656AD3">
        <w:t xml:space="preserve"> </w:t>
      </w:r>
    </w:p>
    <w:p w:rsidR="00EA0124" w:rsidRPr="00656AD3" w:rsidRDefault="00EA0124" w:rsidP="0073669D">
      <w:pPr>
        <w:pStyle w:val="Default"/>
        <w:ind w:left="851" w:hanging="851"/>
      </w:pPr>
    </w:p>
    <w:p w:rsidR="00EA0124" w:rsidRDefault="00EA0124" w:rsidP="002930C6">
      <w:pPr>
        <w:pStyle w:val="Default"/>
        <w:ind w:left="851" w:hanging="851"/>
      </w:pPr>
      <w:r w:rsidRPr="00656AD3">
        <w:t>3.</w:t>
      </w:r>
      <w:r w:rsidR="00E500A8">
        <w:t>4.</w:t>
      </w:r>
      <w:r w:rsidR="00022AA5">
        <w:t>2</w:t>
      </w:r>
      <w:r w:rsidR="00E500A8">
        <w:t xml:space="preserve">.3 </w:t>
      </w:r>
      <w:r w:rsidRPr="00656AD3">
        <w:t xml:space="preserve">The Council’s Transformation </w:t>
      </w:r>
      <w:r w:rsidR="00DF553C">
        <w:t>Strategy</w:t>
      </w:r>
      <w:r>
        <w:t xml:space="preserve"> recognises that it needs a truly transformational approach that delivers whole Council change based on future demand and self-sufficiency</w:t>
      </w:r>
      <w:r w:rsidR="00990FB6">
        <w:t xml:space="preserve">.  </w:t>
      </w:r>
    </w:p>
    <w:p w:rsidR="005D234F" w:rsidRPr="00656AD3" w:rsidRDefault="005D234F" w:rsidP="00EA0124">
      <w:pPr>
        <w:pStyle w:val="Default"/>
      </w:pPr>
    </w:p>
    <w:p w:rsidR="00EA0124" w:rsidRPr="00656AD3" w:rsidRDefault="00EA0124" w:rsidP="0073669D">
      <w:pPr>
        <w:ind w:left="851" w:hanging="851"/>
        <w:jc w:val="left"/>
        <w:rPr>
          <w:sz w:val="24"/>
          <w:szCs w:val="24"/>
        </w:rPr>
      </w:pPr>
      <w:r w:rsidRPr="00656AD3">
        <w:rPr>
          <w:sz w:val="24"/>
          <w:szCs w:val="24"/>
        </w:rPr>
        <w:t>3.</w:t>
      </w:r>
      <w:r w:rsidR="00B71CA0">
        <w:rPr>
          <w:sz w:val="24"/>
          <w:szCs w:val="24"/>
        </w:rPr>
        <w:t>4.</w:t>
      </w:r>
      <w:r w:rsidR="00022AA5">
        <w:rPr>
          <w:sz w:val="24"/>
          <w:szCs w:val="24"/>
        </w:rPr>
        <w:t>2</w:t>
      </w:r>
      <w:r w:rsidR="00B71CA0">
        <w:rPr>
          <w:sz w:val="24"/>
          <w:szCs w:val="24"/>
        </w:rPr>
        <w:t>.</w:t>
      </w:r>
      <w:r w:rsidR="005D234F">
        <w:rPr>
          <w:sz w:val="24"/>
          <w:szCs w:val="24"/>
        </w:rPr>
        <w:t xml:space="preserve">5 </w:t>
      </w:r>
      <w:r w:rsidRPr="00656AD3">
        <w:rPr>
          <w:sz w:val="24"/>
          <w:szCs w:val="24"/>
        </w:rPr>
        <w:t>The Council is committed to delivering high quality services for its residents a</w:t>
      </w:r>
      <w:r w:rsidR="00990FB6">
        <w:rPr>
          <w:sz w:val="24"/>
          <w:szCs w:val="24"/>
        </w:rPr>
        <w:t>nd to make Mansfield and D</w:t>
      </w:r>
      <w:r w:rsidRPr="00656AD3">
        <w:rPr>
          <w:sz w:val="24"/>
          <w:szCs w:val="24"/>
        </w:rPr>
        <w:t>istrict a place where people want to live</w:t>
      </w:r>
      <w:r w:rsidR="005D234F">
        <w:rPr>
          <w:sz w:val="24"/>
          <w:szCs w:val="24"/>
        </w:rPr>
        <w:t>, visit</w:t>
      </w:r>
      <w:r w:rsidRPr="00656AD3">
        <w:rPr>
          <w:sz w:val="24"/>
          <w:szCs w:val="24"/>
        </w:rPr>
        <w:t xml:space="preserve"> and do business. The Transformation </w:t>
      </w:r>
      <w:r w:rsidR="005D234F">
        <w:rPr>
          <w:sz w:val="24"/>
          <w:szCs w:val="24"/>
        </w:rPr>
        <w:t>Strategy</w:t>
      </w:r>
      <w:r w:rsidR="005D234F" w:rsidRPr="00656AD3">
        <w:rPr>
          <w:sz w:val="24"/>
          <w:szCs w:val="24"/>
        </w:rPr>
        <w:t xml:space="preserve"> </w:t>
      </w:r>
      <w:r w:rsidRPr="00656AD3">
        <w:rPr>
          <w:sz w:val="24"/>
          <w:szCs w:val="24"/>
        </w:rPr>
        <w:t>sets out the approach to be taken to achieve this against th</w:t>
      </w:r>
      <w:r>
        <w:rPr>
          <w:sz w:val="24"/>
          <w:szCs w:val="24"/>
        </w:rPr>
        <w:t>e current</w:t>
      </w:r>
      <w:r w:rsidRPr="00656AD3">
        <w:rPr>
          <w:sz w:val="24"/>
          <w:szCs w:val="24"/>
        </w:rPr>
        <w:t xml:space="preserve"> financial and economic background.</w:t>
      </w:r>
    </w:p>
    <w:p w:rsidR="00F50776" w:rsidRPr="00772FE1" w:rsidRDefault="00F50776" w:rsidP="0027437C">
      <w:pPr>
        <w:jc w:val="left"/>
        <w:rPr>
          <w:sz w:val="24"/>
          <w:szCs w:val="24"/>
        </w:rPr>
      </w:pPr>
    </w:p>
    <w:p w:rsidR="00F50776" w:rsidRPr="00656AD3" w:rsidRDefault="00F50776" w:rsidP="00F50776">
      <w:pPr>
        <w:ind w:left="851" w:hanging="851"/>
        <w:jc w:val="left"/>
        <w:rPr>
          <w:sz w:val="24"/>
          <w:szCs w:val="24"/>
        </w:rPr>
      </w:pPr>
      <w:r w:rsidRPr="00772FE1">
        <w:rPr>
          <w:sz w:val="24"/>
          <w:szCs w:val="24"/>
        </w:rPr>
        <w:t>3.4.</w:t>
      </w:r>
      <w:r w:rsidR="00022AA5">
        <w:rPr>
          <w:sz w:val="24"/>
          <w:szCs w:val="24"/>
        </w:rPr>
        <w:t>2</w:t>
      </w:r>
      <w:r w:rsidRPr="00772FE1">
        <w:rPr>
          <w:sz w:val="24"/>
          <w:szCs w:val="24"/>
        </w:rPr>
        <w:t>.</w:t>
      </w:r>
      <w:r w:rsidR="0035778C">
        <w:rPr>
          <w:sz w:val="24"/>
          <w:szCs w:val="24"/>
        </w:rPr>
        <w:t>6</w:t>
      </w:r>
      <w:r w:rsidR="005D234F" w:rsidRPr="00772FE1">
        <w:rPr>
          <w:sz w:val="24"/>
          <w:szCs w:val="24"/>
        </w:rPr>
        <w:t xml:space="preserve"> </w:t>
      </w:r>
      <w:r w:rsidRPr="00772FE1">
        <w:rPr>
          <w:sz w:val="24"/>
          <w:szCs w:val="24"/>
        </w:rPr>
        <w:t xml:space="preserve">In order to address the deficit for the </w:t>
      </w:r>
      <w:r>
        <w:rPr>
          <w:sz w:val="24"/>
          <w:szCs w:val="24"/>
        </w:rPr>
        <w:t>202</w:t>
      </w:r>
      <w:r w:rsidR="00595BD2">
        <w:rPr>
          <w:sz w:val="24"/>
          <w:szCs w:val="24"/>
        </w:rPr>
        <w:t>3/24</w:t>
      </w:r>
      <w:r w:rsidRPr="00772FE1">
        <w:rPr>
          <w:sz w:val="24"/>
          <w:szCs w:val="24"/>
        </w:rPr>
        <w:t xml:space="preserve"> financial year</w:t>
      </w:r>
      <w:r w:rsidR="002930C6">
        <w:rPr>
          <w:sz w:val="24"/>
          <w:szCs w:val="24"/>
        </w:rPr>
        <w:t xml:space="preserve"> and future years</w:t>
      </w:r>
      <w:r w:rsidR="00B64457">
        <w:rPr>
          <w:sz w:val="24"/>
          <w:szCs w:val="24"/>
        </w:rPr>
        <w:t>,</w:t>
      </w:r>
      <w:r w:rsidRPr="00772FE1">
        <w:rPr>
          <w:sz w:val="24"/>
          <w:szCs w:val="24"/>
        </w:rPr>
        <w:t xml:space="preserve"> work will be undertaken to review all the services provided by the Council.  This will focus on whether or not the service will continue to be provided, and where it is deemed that the service is still required, an assessment as to the level of service provided will be undertaken.</w:t>
      </w:r>
    </w:p>
    <w:p w:rsidR="00054514" w:rsidRDefault="00054514" w:rsidP="0073669D">
      <w:pPr>
        <w:ind w:left="851" w:hanging="851"/>
        <w:jc w:val="left"/>
        <w:outlineLvl w:val="0"/>
        <w:rPr>
          <w:b/>
          <w:sz w:val="24"/>
          <w:szCs w:val="24"/>
        </w:rPr>
      </w:pPr>
    </w:p>
    <w:p w:rsidR="00F50776" w:rsidRDefault="00F50776" w:rsidP="0073669D">
      <w:pPr>
        <w:ind w:left="851" w:hanging="851"/>
        <w:jc w:val="left"/>
        <w:outlineLvl w:val="0"/>
        <w:rPr>
          <w:b/>
          <w:sz w:val="24"/>
          <w:szCs w:val="24"/>
        </w:rPr>
      </w:pPr>
    </w:p>
    <w:p w:rsidR="00054514" w:rsidRDefault="00054514" w:rsidP="00054514">
      <w:pPr>
        <w:jc w:val="left"/>
        <w:rPr>
          <w:b/>
          <w:sz w:val="24"/>
          <w:szCs w:val="24"/>
        </w:rPr>
      </w:pPr>
      <w:r>
        <w:rPr>
          <w:b/>
          <w:sz w:val="24"/>
          <w:szCs w:val="24"/>
        </w:rPr>
        <w:t>3.4.</w:t>
      </w:r>
      <w:r w:rsidR="002930C6">
        <w:rPr>
          <w:b/>
          <w:sz w:val="24"/>
          <w:szCs w:val="24"/>
        </w:rPr>
        <w:t>3</w:t>
      </w:r>
      <w:r>
        <w:rPr>
          <w:b/>
          <w:sz w:val="24"/>
          <w:szCs w:val="24"/>
        </w:rPr>
        <w:tab/>
        <w:t>Assumptions</w:t>
      </w:r>
    </w:p>
    <w:p w:rsidR="00054514" w:rsidRPr="002675FA" w:rsidRDefault="00054514" w:rsidP="00054514">
      <w:pPr>
        <w:jc w:val="left"/>
        <w:rPr>
          <w:sz w:val="24"/>
          <w:szCs w:val="24"/>
        </w:rPr>
      </w:pPr>
    </w:p>
    <w:p w:rsidR="00054514" w:rsidRPr="002675FA" w:rsidRDefault="00054514" w:rsidP="00054514">
      <w:pPr>
        <w:ind w:left="851" w:hanging="851"/>
        <w:jc w:val="left"/>
        <w:rPr>
          <w:sz w:val="24"/>
          <w:szCs w:val="24"/>
        </w:rPr>
      </w:pPr>
      <w:r>
        <w:rPr>
          <w:sz w:val="24"/>
          <w:szCs w:val="24"/>
        </w:rPr>
        <w:t>3.4.</w:t>
      </w:r>
      <w:r w:rsidR="0027437C">
        <w:rPr>
          <w:sz w:val="24"/>
          <w:szCs w:val="24"/>
        </w:rPr>
        <w:t>3</w:t>
      </w:r>
      <w:r>
        <w:rPr>
          <w:sz w:val="24"/>
          <w:szCs w:val="24"/>
        </w:rPr>
        <w:t>.1</w:t>
      </w:r>
      <w:r>
        <w:rPr>
          <w:sz w:val="24"/>
          <w:szCs w:val="24"/>
        </w:rPr>
        <w:tab/>
        <w:t xml:space="preserve">This section sets out the assumptions used to develop the detailed budget over the period of the Medium Term Financial </w:t>
      </w:r>
      <w:r w:rsidR="00C07013">
        <w:rPr>
          <w:sz w:val="24"/>
          <w:szCs w:val="24"/>
        </w:rPr>
        <w:t>Plan</w:t>
      </w:r>
      <w:r>
        <w:rPr>
          <w:sz w:val="24"/>
          <w:szCs w:val="24"/>
        </w:rPr>
        <w:t>, including those assumptions used to determine the major sources of funding that the Council is anticipating.</w:t>
      </w:r>
    </w:p>
    <w:p w:rsidR="00054514" w:rsidRDefault="00054514" w:rsidP="00054514">
      <w:pPr>
        <w:ind w:left="851" w:hanging="851"/>
        <w:jc w:val="left"/>
        <w:rPr>
          <w:sz w:val="24"/>
          <w:szCs w:val="24"/>
        </w:rPr>
      </w:pPr>
    </w:p>
    <w:p w:rsidR="00054514" w:rsidRPr="002675FA" w:rsidRDefault="00054514" w:rsidP="00054514">
      <w:pPr>
        <w:ind w:left="851" w:hanging="851"/>
        <w:jc w:val="left"/>
        <w:rPr>
          <w:sz w:val="24"/>
          <w:szCs w:val="24"/>
        </w:rPr>
      </w:pPr>
    </w:p>
    <w:p w:rsidR="00054514" w:rsidRPr="00A867DD" w:rsidRDefault="00054514" w:rsidP="00054514">
      <w:pPr>
        <w:ind w:left="851" w:hanging="851"/>
        <w:jc w:val="left"/>
        <w:rPr>
          <w:b/>
          <w:sz w:val="24"/>
          <w:szCs w:val="24"/>
        </w:rPr>
      </w:pPr>
      <w:r w:rsidRPr="00A867DD">
        <w:rPr>
          <w:b/>
          <w:sz w:val="24"/>
          <w:szCs w:val="24"/>
        </w:rPr>
        <w:t>3.4.</w:t>
      </w:r>
      <w:r w:rsidR="0027437C">
        <w:rPr>
          <w:b/>
          <w:sz w:val="24"/>
          <w:szCs w:val="24"/>
        </w:rPr>
        <w:t>4</w:t>
      </w:r>
      <w:r w:rsidRPr="00A867DD">
        <w:rPr>
          <w:b/>
          <w:sz w:val="24"/>
          <w:szCs w:val="24"/>
        </w:rPr>
        <w:tab/>
      </w:r>
      <w:r w:rsidRPr="004F65FC">
        <w:rPr>
          <w:b/>
          <w:sz w:val="24"/>
          <w:szCs w:val="24"/>
        </w:rPr>
        <w:t>Government Grant</w:t>
      </w:r>
    </w:p>
    <w:p w:rsidR="00054514" w:rsidRPr="007F30B8" w:rsidRDefault="00054514" w:rsidP="007F30B8">
      <w:pPr>
        <w:rPr>
          <w:rFonts w:cs="Arial"/>
          <w:sz w:val="24"/>
          <w:szCs w:val="24"/>
        </w:rPr>
      </w:pPr>
    </w:p>
    <w:p w:rsidR="000852D1" w:rsidRDefault="00143096" w:rsidP="00143096">
      <w:pPr>
        <w:pStyle w:val="ListParagraph"/>
        <w:spacing w:after="0"/>
        <w:ind w:left="851" w:hanging="851"/>
        <w:rPr>
          <w:rFonts w:ascii="Arial" w:hAnsi="Arial" w:cs="Arial"/>
          <w:sz w:val="24"/>
          <w:szCs w:val="24"/>
        </w:rPr>
      </w:pPr>
      <w:r w:rsidRPr="00004B7C">
        <w:rPr>
          <w:rFonts w:ascii="Arial" w:hAnsi="Arial" w:cs="Arial"/>
          <w:sz w:val="24"/>
          <w:szCs w:val="24"/>
        </w:rPr>
        <w:t>3.4.4.1</w:t>
      </w:r>
      <w:r w:rsidRPr="00004B7C">
        <w:rPr>
          <w:rFonts w:ascii="Arial" w:hAnsi="Arial" w:cs="Arial"/>
          <w:sz w:val="24"/>
          <w:szCs w:val="24"/>
        </w:rPr>
        <w:tab/>
      </w:r>
      <w:r w:rsidR="00814033">
        <w:rPr>
          <w:rFonts w:ascii="Arial" w:hAnsi="Arial" w:cs="Arial"/>
          <w:sz w:val="24"/>
          <w:szCs w:val="24"/>
        </w:rPr>
        <w:t xml:space="preserve">The Council </w:t>
      </w:r>
      <w:r w:rsidR="000852D1">
        <w:rPr>
          <w:rFonts w:ascii="Arial" w:hAnsi="Arial" w:cs="Arial"/>
          <w:sz w:val="24"/>
          <w:szCs w:val="24"/>
        </w:rPr>
        <w:t>has received, as part of the 2023/24 Local Government Finance Settlement:</w:t>
      </w:r>
    </w:p>
    <w:p w:rsidR="00143096" w:rsidRDefault="000852D1" w:rsidP="00C54396">
      <w:pPr>
        <w:pStyle w:val="ListParagraph"/>
        <w:numPr>
          <w:ilvl w:val="0"/>
          <w:numId w:val="5"/>
        </w:numPr>
        <w:spacing w:after="0"/>
        <w:rPr>
          <w:rFonts w:ascii="Arial" w:hAnsi="Arial" w:cs="Arial"/>
          <w:sz w:val="24"/>
          <w:szCs w:val="24"/>
        </w:rPr>
      </w:pPr>
      <w:r>
        <w:rPr>
          <w:rFonts w:ascii="Arial" w:hAnsi="Arial" w:cs="Arial"/>
          <w:sz w:val="24"/>
          <w:szCs w:val="24"/>
        </w:rPr>
        <w:t xml:space="preserve">An additional £167k in Revenue Support Grant, however, £139k of this relates to </w:t>
      </w:r>
      <w:r w:rsidR="00081E6B">
        <w:rPr>
          <w:rFonts w:ascii="Arial" w:hAnsi="Arial" w:cs="Arial"/>
          <w:sz w:val="24"/>
          <w:szCs w:val="24"/>
        </w:rPr>
        <w:t xml:space="preserve">Local </w:t>
      </w:r>
      <w:r>
        <w:rPr>
          <w:rFonts w:ascii="Arial" w:hAnsi="Arial" w:cs="Arial"/>
          <w:sz w:val="24"/>
          <w:szCs w:val="24"/>
        </w:rPr>
        <w:t xml:space="preserve">Council Tax </w:t>
      </w:r>
      <w:r w:rsidR="00081E6B">
        <w:rPr>
          <w:rFonts w:ascii="Arial" w:hAnsi="Arial" w:cs="Arial"/>
          <w:sz w:val="24"/>
          <w:szCs w:val="24"/>
        </w:rPr>
        <w:t xml:space="preserve">Support </w:t>
      </w:r>
      <w:r>
        <w:rPr>
          <w:rFonts w:ascii="Arial" w:hAnsi="Arial" w:cs="Arial"/>
          <w:sz w:val="24"/>
          <w:szCs w:val="24"/>
        </w:rPr>
        <w:t xml:space="preserve">Administration </w:t>
      </w:r>
      <w:r w:rsidR="00081E6B">
        <w:rPr>
          <w:rFonts w:ascii="Arial" w:hAnsi="Arial" w:cs="Arial"/>
          <w:sz w:val="24"/>
          <w:szCs w:val="24"/>
        </w:rPr>
        <w:t xml:space="preserve">Subsidy </w:t>
      </w:r>
      <w:r>
        <w:rPr>
          <w:rFonts w:ascii="Arial" w:hAnsi="Arial" w:cs="Arial"/>
          <w:sz w:val="24"/>
          <w:szCs w:val="24"/>
        </w:rPr>
        <w:t>grant which has been rolled into RSG</w:t>
      </w:r>
      <w:r w:rsidR="002D0C0D">
        <w:rPr>
          <w:rFonts w:ascii="Arial" w:hAnsi="Arial" w:cs="Arial"/>
          <w:sz w:val="24"/>
          <w:szCs w:val="24"/>
        </w:rPr>
        <w:t xml:space="preserve"> but previously received as a separate grant.</w:t>
      </w:r>
    </w:p>
    <w:p w:rsidR="000852D1" w:rsidRDefault="000852D1" w:rsidP="00C54396">
      <w:pPr>
        <w:pStyle w:val="ListParagraph"/>
        <w:numPr>
          <w:ilvl w:val="0"/>
          <w:numId w:val="5"/>
        </w:numPr>
        <w:spacing w:after="0"/>
        <w:rPr>
          <w:rFonts w:ascii="Arial" w:hAnsi="Arial" w:cs="Arial"/>
          <w:sz w:val="24"/>
          <w:szCs w:val="24"/>
        </w:rPr>
      </w:pPr>
      <w:r>
        <w:rPr>
          <w:rFonts w:ascii="Arial" w:hAnsi="Arial" w:cs="Arial"/>
          <w:sz w:val="24"/>
          <w:szCs w:val="24"/>
        </w:rPr>
        <w:t>A Funding Guarantee element of £352k</w:t>
      </w:r>
      <w:r w:rsidR="002D0C0D">
        <w:rPr>
          <w:rFonts w:ascii="Arial" w:hAnsi="Arial" w:cs="Arial"/>
          <w:sz w:val="24"/>
          <w:szCs w:val="24"/>
        </w:rPr>
        <w:t>.</w:t>
      </w:r>
    </w:p>
    <w:p w:rsidR="000852D1" w:rsidRDefault="000852D1" w:rsidP="00C54396">
      <w:pPr>
        <w:pStyle w:val="ListParagraph"/>
        <w:numPr>
          <w:ilvl w:val="0"/>
          <w:numId w:val="5"/>
        </w:numPr>
        <w:spacing w:after="0"/>
        <w:rPr>
          <w:rFonts w:ascii="Arial" w:hAnsi="Arial" w:cs="Arial"/>
          <w:sz w:val="24"/>
          <w:szCs w:val="24"/>
        </w:rPr>
      </w:pPr>
      <w:r>
        <w:rPr>
          <w:rFonts w:ascii="Arial" w:hAnsi="Arial" w:cs="Arial"/>
          <w:sz w:val="24"/>
          <w:szCs w:val="24"/>
        </w:rPr>
        <w:t>Services Grant of £145k</w:t>
      </w:r>
      <w:r w:rsidR="002D0C0D">
        <w:rPr>
          <w:rFonts w:ascii="Arial" w:hAnsi="Arial" w:cs="Arial"/>
          <w:sz w:val="24"/>
          <w:szCs w:val="24"/>
        </w:rPr>
        <w:t>.</w:t>
      </w:r>
    </w:p>
    <w:p w:rsidR="000852D1" w:rsidRDefault="000852D1" w:rsidP="00C54396">
      <w:pPr>
        <w:pStyle w:val="ListParagraph"/>
        <w:numPr>
          <w:ilvl w:val="0"/>
          <w:numId w:val="5"/>
        </w:numPr>
        <w:spacing w:after="0"/>
        <w:rPr>
          <w:rFonts w:ascii="Arial" w:hAnsi="Arial" w:cs="Arial"/>
          <w:sz w:val="24"/>
          <w:szCs w:val="24"/>
        </w:rPr>
      </w:pPr>
      <w:r>
        <w:rPr>
          <w:rFonts w:ascii="Arial" w:hAnsi="Arial" w:cs="Arial"/>
          <w:sz w:val="24"/>
          <w:szCs w:val="24"/>
        </w:rPr>
        <w:t>New Homes Bonus of £399k, which is £134k higher than originally anticipated</w:t>
      </w:r>
      <w:r w:rsidR="002D0C0D">
        <w:rPr>
          <w:rFonts w:ascii="Arial" w:hAnsi="Arial" w:cs="Arial"/>
          <w:sz w:val="24"/>
          <w:szCs w:val="24"/>
        </w:rPr>
        <w:t>.</w:t>
      </w:r>
    </w:p>
    <w:p w:rsidR="000852D1" w:rsidRPr="009F4BBD" w:rsidRDefault="000852D1" w:rsidP="00C54396">
      <w:pPr>
        <w:pStyle w:val="ListParagraph"/>
        <w:numPr>
          <w:ilvl w:val="0"/>
          <w:numId w:val="5"/>
        </w:numPr>
        <w:spacing w:after="0"/>
        <w:rPr>
          <w:rFonts w:ascii="Arial" w:hAnsi="Arial" w:cs="Arial"/>
          <w:sz w:val="24"/>
          <w:szCs w:val="24"/>
        </w:rPr>
      </w:pPr>
      <w:r>
        <w:rPr>
          <w:rFonts w:ascii="Arial" w:hAnsi="Arial" w:cs="Arial"/>
          <w:sz w:val="24"/>
          <w:szCs w:val="24"/>
        </w:rPr>
        <w:t>The Lower Tier Services grant of £167k is no longer provided, however, this grant has been used as part of the Funding Guarantee</w:t>
      </w:r>
      <w:r w:rsidR="002D0C0D">
        <w:rPr>
          <w:rFonts w:ascii="Arial" w:hAnsi="Arial" w:cs="Arial"/>
          <w:sz w:val="24"/>
          <w:szCs w:val="24"/>
        </w:rPr>
        <w:t>.</w:t>
      </w:r>
    </w:p>
    <w:p w:rsidR="00054514" w:rsidRDefault="00054514" w:rsidP="00143096">
      <w:pPr>
        <w:jc w:val="left"/>
        <w:rPr>
          <w:rFonts w:cs="Arial"/>
          <w:sz w:val="24"/>
          <w:szCs w:val="24"/>
        </w:rPr>
      </w:pPr>
    </w:p>
    <w:p w:rsidR="00DB1EB0" w:rsidRPr="00656AD3" w:rsidRDefault="00DB1EB0" w:rsidP="00143096">
      <w:pPr>
        <w:jc w:val="left"/>
        <w:rPr>
          <w:rFonts w:cs="Arial"/>
          <w:sz w:val="24"/>
          <w:szCs w:val="24"/>
        </w:rPr>
      </w:pPr>
    </w:p>
    <w:p w:rsidR="00054514" w:rsidRPr="00656AD3" w:rsidRDefault="00054514" w:rsidP="00054514">
      <w:pPr>
        <w:ind w:left="851" w:hanging="851"/>
        <w:jc w:val="left"/>
        <w:rPr>
          <w:b/>
          <w:sz w:val="24"/>
          <w:szCs w:val="24"/>
        </w:rPr>
      </w:pPr>
      <w:r w:rsidRPr="00656AD3">
        <w:rPr>
          <w:b/>
          <w:sz w:val="24"/>
          <w:szCs w:val="24"/>
        </w:rPr>
        <w:t>3.</w:t>
      </w:r>
      <w:r>
        <w:rPr>
          <w:b/>
          <w:sz w:val="24"/>
          <w:szCs w:val="24"/>
        </w:rPr>
        <w:t>4.</w:t>
      </w:r>
      <w:r w:rsidR="0027437C">
        <w:rPr>
          <w:b/>
          <w:sz w:val="24"/>
          <w:szCs w:val="24"/>
        </w:rPr>
        <w:t>5</w:t>
      </w:r>
      <w:r w:rsidRPr="00656AD3">
        <w:rPr>
          <w:b/>
          <w:sz w:val="24"/>
          <w:szCs w:val="24"/>
        </w:rPr>
        <w:tab/>
        <w:t>Business Rates</w:t>
      </w:r>
    </w:p>
    <w:p w:rsidR="00054514" w:rsidRPr="00656AD3" w:rsidRDefault="00054514" w:rsidP="00054514">
      <w:pPr>
        <w:ind w:left="851" w:hanging="851"/>
        <w:jc w:val="left"/>
        <w:rPr>
          <w:b/>
          <w:sz w:val="24"/>
          <w:szCs w:val="24"/>
        </w:rPr>
      </w:pPr>
    </w:p>
    <w:p w:rsidR="00143096" w:rsidRDefault="00054514" w:rsidP="00143096">
      <w:pPr>
        <w:autoSpaceDE w:val="0"/>
        <w:autoSpaceDN w:val="0"/>
        <w:adjustRightInd w:val="0"/>
        <w:ind w:left="851" w:hanging="851"/>
        <w:jc w:val="left"/>
        <w:rPr>
          <w:rFonts w:cs="Arial"/>
          <w:sz w:val="24"/>
          <w:szCs w:val="24"/>
        </w:rPr>
      </w:pPr>
      <w:r w:rsidRPr="00143096">
        <w:rPr>
          <w:rFonts w:cs="Arial"/>
          <w:sz w:val="24"/>
          <w:szCs w:val="24"/>
        </w:rPr>
        <w:t>3.4.</w:t>
      </w:r>
      <w:r w:rsidR="0027437C" w:rsidRPr="00143096">
        <w:rPr>
          <w:rFonts w:cs="Arial"/>
          <w:sz w:val="24"/>
          <w:szCs w:val="24"/>
        </w:rPr>
        <w:t>5</w:t>
      </w:r>
      <w:r w:rsidRPr="00143096">
        <w:rPr>
          <w:rFonts w:cs="Arial"/>
          <w:sz w:val="24"/>
          <w:szCs w:val="24"/>
        </w:rPr>
        <w:t>.1</w:t>
      </w:r>
      <w:r w:rsidR="00143096" w:rsidRPr="00143096">
        <w:rPr>
          <w:rFonts w:cs="Arial"/>
          <w:sz w:val="24"/>
          <w:szCs w:val="24"/>
        </w:rPr>
        <w:t xml:space="preserve"> </w:t>
      </w:r>
      <w:r w:rsidR="00143096" w:rsidRPr="00143096">
        <w:rPr>
          <w:rFonts w:cs="Arial"/>
          <w:sz w:val="24"/>
          <w:szCs w:val="24"/>
        </w:rPr>
        <w:tab/>
        <w:t>In addition to the baseline allocation of Business Rates, the Council retains 40% of any business rates collected above the assumed baseline level (with Nottinghamshire County Council and Nottinghamshire Fire and Rescue Service also receiving 9% and 1% respectively), with the remaining 50% being contributed to the Nottinghamshire Business Rates Pool.  If business rates income falls to less than 92.5% of the baseline, the Council will receive a ‘safety net’ payment from the Pool, so that any loss of income below the baseline is capped at 7.5%.</w:t>
      </w:r>
    </w:p>
    <w:p w:rsidR="00143096" w:rsidRDefault="00143096" w:rsidP="00143096">
      <w:pPr>
        <w:autoSpaceDE w:val="0"/>
        <w:autoSpaceDN w:val="0"/>
        <w:adjustRightInd w:val="0"/>
        <w:ind w:left="851" w:hanging="851"/>
        <w:jc w:val="left"/>
        <w:rPr>
          <w:rFonts w:cs="Arial"/>
          <w:sz w:val="24"/>
          <w:szCs w:val="24"/>
        </w:rPr>
      </w:pPr>
    </w:p>
    <w:p w:rsidR="00054514" w:rsidRPr="00656AD3" w:rsidRDefault="00054514" w:rsidP="00143096">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.2</w:t>
      </w:r>
      <w:r w:rsidRPr="00656AD3">
        <w:rPr>
          <w:rFonts w:cs="Arial"/>
          <w:sz w:val="24"/>
          <w:szCs w:val="24"/>
        </w:rPr>
        <w:tab/>
        <w:t xml:space="preserve">The Council is a member of the Nottinghamshire Business Rates Pool which shares the risks associated with reducing business rates income from revaluations or closure of key employers and shares the benefit of growth across the county. </w:t>
      </w:r>
    </w:p>
    <w:p w:rsidR="00054514" w:rsidRPr="00656AD3" w:rsidRDefault="00054514" w:rsidP="00054514">
      <w:pPr>
        <w:pStyle w:val="ListParagraph"/>
        <w:spacing w:after="0" w:line="240" w:lineRule="auto"/>
        <w:ind w:left="851" w:hanging="851"/>
        <w:rPr>
          <w:rFonts w:ascii="Arial" w:hAnsi="Arial" w:cs="Arial"/>
          <w:sz w:val="24"/>
          <w:szCs w:val="24"/>
        </w:rPr>
      </w:pPr>
    </w:p>
    <w:p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.3</w:t>
      </w:r>
      <w:r w:rsidRPr="00656AD3">
        <w:rPr>
          <w:rFonts w:cs="Arial"/>
          <w:sz w:val="24"/>
          <w:szCs w:val="24"/>
        </w:rPr>
        <w:tab/>
        <w:t xml:space="preserve">One of the challenges faced by all local authorities is effectively predicting the level of movement in the business rate tax base. This is dependent on accurately forecasting the timing and incidences of new properties, demolitions and significant refurbishments, together with the consequent effect on valuations. This is further complicated by the need to assess the level of appeals that will be lodged successfully against new/revised valuations, together with their timing.  </w:t>
      </w:r>
    </w:p>
    <w:p w:rsidR="00054514" w:rsidRPr="00656AD3" w:rsidRDefault="00054514" w:rsidP="00054514">
      <w:pPr>
        <w:autoSpaceDE w:val="0"/>
        <w:autoSpaceDN w:val="0"/>
        <w:adjustRightInd w:val="0"/>
        <w:ind w:left="851" w:hanging="851"/>
        <w:jc w:val="left"/>
        <w:rPr>
          <w:rFonts w:cs="Arial"/>
          <w:sz w:val="24"/>
          <w:szCs w:val="24"/>
        </w:rPr>
      </w:pPr>
    </w:p>
    <w:p w:rsidR="00054514"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.4</w:t>
      </w:r>
      <w:r w:rsidRPr="00656AD3">
        <w:rPr>
          <w:rFonts w:cs="Arial"/>
          <w:sz w:val="24"/>
          <w:szCs w:val="24"/>
        </w:rPr>
        <w:tab/>
        <w:t>Although there has been growth in the tax base since the scheme started in 2013/14, the Council is expecting reductions as a result of the settling of appeals, which includes backdating to previous years.  Provisions have been made in the accounts to cover these amounts, but the risk is that the value of the settled appeals could be much higher. The appeals position nationally remains difficult to forecast accurately</w:t>
      </w:r>
      <w:r w:rsidR="00D908CF">
        <w:rPr>
          <w:rFonts w:cs="Arial"/>
          <w:sz w:val="24"/>
          <w:szCs w:val="24"/>
        </w:rPr>
        <w:t>,</w:t>
      </w:r>
      <w:r w:rsidRPr="00656AD3">
        <w:rPr>
          <w:rFonts w:cs="Arial"/>
          <w:sz w:val="24"/>
          <w:szCs w:val="24"/>
        </w:rPr>
        <w:t xml:space="preserve"> with </w:t>
      </w:r>
      <w:r w:rsidR="00D908CF">
        <w:rPr>
          <w:rFonts w:cs="Arial"/>
          <w:sz w:val="24"/>
          <w:szCs w:val="24"/>
        </w:rPr>
        <w:t xml:space="preserve">potential </w:t>
      </w:r>
      <w:r w:rsidRPr="00656AD3">
        <w:rPr>
          <w:rFonts w:cs="Arial"/>
          <w:sz w:val="24"/>
          <w:szCs w:val="24"/>
        </w:rPr>
        <w:t xml:space="preserve">fresh appeals as a result of </w:t>
      </w:r>
      <w:r w:rsidRPr="00143096">
        <w:rPr>
          <w:rFonts w:cs="Arial"/>
          <w:sz w:val="24"/>
          <w:szCs w:val="24"/>
        </w:rPr>
        <w:t xml:space="preserve">the </w:t>
      </w:r>
      <w:r w:rsidR="00D908CF">
        <w:rPr>
          <w:rFonts w:cs="Arial"/>
          <w:sz w:val="24"/>
          <w:szCs w:val="24"/>
        </w:rPr>
        <w:t>upcoming 2023</w:t>
      </w:r>
      <w:r w:rsidRPr="00143096">
        <w:rPr>
          <w:rFonts w:cs="Arial"/>
          <w:sz w:val="24"/>
          <w:szCs w:val="24"/>
        </w:rPr>
        <w:t xml:space="preserve"> Business Rates revaluation. </w:t>
      </w:r>
    </w:p>
    <w:p w:rsidR="00D908CF" w:rsidRDefault="00D908CF" w:rsidP="00054514">
      <w:pPr>
        <w:autoSpaceDE w:val="0"/>
        <w:autoSpaceDN w:val="0"/>
        <w:adjustRightInd w:val="0"/>
        <w:ind w:left="851" w:hanging="851"/>
        <w:jc w:val="left"/>
        <w:rPr>
          <w:rFonts w:cs="Arial"/>
          <w:sz w:val="24"/>
          <w:szCs w:val="24"/>
        </w:rPr>
      </w:pPr>
    </w:p>
    <w:p w:rsidR="00D908CF" w:rsidRDefault="00D908CF" w:rsidP="00054514">
      <w:pPr>
        <w:autoSpaceDE w:val="0"/>
        <w:autoSpaceDN w:val="0"/>
        <w:adjustRightInd w:val="0"/>
        <w:ind w:left="851" w:hanging="851"/>
        <w:jc w:val="left"/>
        <w:rPr>
          <w:rFonts w:cs="Arial"/>
          <w:sz w:val="24"/>
          <w:szCs w:val="24"/>
        </w:rPr>
      </w:pPr>
      <w:r>
        <w:rPr>
          <w:rFonts w:cs="Arial"/>
          <w:sz w:val="24"/>
          <w:szCs w:val="24"/>
        </w:rPr>
        <w:t>3.4.5.5</w:t>
      </w:r>
      <w:r>
        <w:rPr>
          <w:rFonts w:cs="Arial"/>
          <w:sz w:val="24"/>
          <w:szCs w:val="24"/>
        </w:rPr>
        <w:tab/>
        <w:t xml:space="preserve">The financial year </w:t>
      </w:r>
      <w:r w:rsidR="00632E64">
        <w:rPr>
          <w:rFonts w:cs="Arial"/>
          <w:sz w:val="24"/>
          <w:szCs w:val="24"/>
        </w:rPr>
        <w:t xml:space="preserve">2023/24 is going to be </w:t>
      </w:r>
      <w:r w:rsidRPr="00D908CF">
        <w:rPr>
          <w:rFonts w:cs="Arial"/>
          <w:sz w:val="24"/>
          <w:szCs w:val="24"/>
        </w:rPr>
        <w:t>a revaluation year</w:t>
      </w:r>
      <w:r w:rsidR="00632E64">
        <w:rPr>
          <w:rFonts w:cs="Arial"/>
          <w:sz w:val="24"/>
          <w:szCs w:val="24"/>
        </w:rPr>
        <w:t xml:space="preserve"> regarding the rateable value of properties upon which </w:t>
      </w:r>
      <w:r w:rsidR="00632E64" w:rsidRPr="00632E64">
        <w:rPr>
          <w:rFonts w:cs="Arial"/>
          <w:sz w:val="24"/>
          <w:szCs w:val="24"/>
        </w:rPr>
        <w:t>Mansfield District Council</w:t>
      </w:r>
      <w:r w:rsidR="00632E64">
        <w:rPr>
          <w:rFonts w:cs="Arial"/>
          <w:sz w:val="24"/>
          <w:szCs w:val="24"/>
        </w:rPr>
        <w:t xml:space="preserve"> charges Business Rates. </w:t>
      </w:r>
      <w:r w:rsidR="00632E64" w:rsidRPr="00632E64">
        <w:rPr>
          <w:rFonts w:cs="Arial"/>
          <w:sz w:val="24"/>
          <w:szCs w:val="24"/>
        </w:rPr>
        <w:t xml:space="preserve">Government are not permitted to raise any more revenues from a revaluation. </w:t>
      </w:r>
      <w:r w:rsidR="00632E64">
        <w:rPr>
          <w:rFonts w:cs="Arial"/>
          <w:sz w:val="24"/>
          <w:szCs w:val="24"/>
        </w:rPr>
        <w:t xml:space="preserve">The </w:t>
      </w:r>
      <w:r w:rsidR="00632E64" w:rsidRPr="00632E64">
        <w:rPr>
          <w:rFonts w:cs="Arial"/>
          <w:sz w:val="24"/>
          <w:szCs w:val="24"/>
        </w:rPr>
        <w:t>multiplier is adjusted to offset the change in rateable value, so if total R</w:t>
      </w:r>
      <w:r w:rsidR="00632E64">
        <w:rPr>
          <w:rFonts w:cs="Arial"/>
          <w:sz w:val="24"/>
          <w:szCs w:val="24"/>
        </w:rPr>
        <w:t xml:space="preserve">ateable </w:t>
      </w:r>
      <w:r w:rsidR="00632E64" w:rsidRPr="00632E64">
        <w:rPr>
          <w:rFonts w:cs="Arial"/>
          <w:sz w:val="24"/>
          <w:szCs w:val="24"/>
        </w:rPr>
        <w:t>V</w:t>
      </w:r>
      <w:r w:rsidR="00632E64">
        <w:rPr>
          <w:rFonts w:cs="Arial"/>
          <w:sz w:val="24"/>
          <w:szCs w:val="24"/>
        </w:rPr>
        <w:t>alue</w:t>
      </w:r>
      <w:r w:rsidR="00632E64" w:rsidRPr="00632E64">
        <w:rPr>
          <w:rFonts w:cs="Arial"/>
          <w:sz w:val="24"/>
          <w:szCs w:val="24"/>
        </w:rPr>
        <w:t xml:space="preserve"> nationally goes up, the multiplier comes down to offset the increase, keeping the national rate yield the same, they then add an element on for inflation.</w:t>
      </w:r>
    </w:p>
    <w:p w:rsidR="00632E64" w:rsidRDefault="00632E64" w:rsidP="00054514">
      <w:pPr>
        <w:autoSpaceDE w:val="0"/>
        <w:autoSpaceDN w:val="0"/>
        <w:adjustRightInd w:val="0"/>
        <w:ind w:left="851" w:hanging="851"/>
        <w:jc w:val="left"/>
        <w:rPr>
          <w:rFonts w:cs="Arial"/>
          <w:sz w:val="24"/>
          <w:szCs w:val="24"/>
        </w:rPr>
      </w:pPr>
    </w:p>
    <w:p w:rsidR="00632E64" w:rsidRDefault="00632E64" w:rsidP="00054514">
      <w:pPr>
        <w:autoSpaceDE w:val="0"/>
        <w:autoSpaceDN w:val="0"/>
        <w:adjustRightInd w:val="0"/>
        <w:ind w:left="851" w:hanging="851"/>
        <w:jc w:val="left"/>
        <w:rPr>
          <w:rFonts w:cs="Arial"/>
          <w:sz w:val="24"/>
          <w:szCs w:val="24"/>
        </w:rPr>
      </w:pPr>
      <w:r>
        <w:rPr>
          <w:rFonts w:cs="Arial"/>
          <w:sz w:val="24"/>
          <w:szCs w:val="24"/>
        </w:rPr>
        <w:t>3.4.5.6</w:t>
      </w:r>
      <w:r>
        <w:rPr>
          <w:rFonts w:cs="Arial"/>
          <w:sz w:val="24"/>
          <w:szCs w:val="24"/>
        </w:rPr>
        <w:tab/>
      </w:r>
      <w:r w:rsidRPr="00632E64">
        <w:rPr>
          <w:rFonts w:cs="Arial"/>
          <w:sz w:val="24"/>
          <w:szCs w:val="24"/>
        </w:rPr>
        <w:t>Historically the draft rating list for a revaluation was published on the 30 September, however, Government changed the legislation so the draft list publica</w:t>
      </w:r>
      <w:r>
        <w:rPr>
          <w:rFonts w:cs="Arial"/>
          <w:sz w:val="24"/>
          <w:szCs w:val="24"/>
        </w:rPr>
        <w:t>tion date is now by 31 December; therefore the impact of the revaluation cannot yet be calculated</w:t>
      </w:r>
      <w:r w:rsidR="002930C6">
        <w:rPr>
          <w:rFonts w:cs="Arial"/>
          <w:sz w:val="24"/>
          <w:szCs w:val="24"/>
        </w:rPr>
        <w:t xml:space="preserve"> at this point</w:t>
      </w:r>
      <w:r>
        <w:rPr>
          <w:rFonts w:cs="Arial"/>
          <w:sz w:val="24"/>
          <w:szCs w:val="24"/>
        </w:rPr>
        <w:t xml:space="preserve">. </w:t>
      </w:r>
    </w:p>
    <w:p w:rsidR="00054514" w:rsidRPr="00143096" w:rsidRDefault="00054514" w:rsidP="00632E64">
      <w:pPr>
        <w:autoSpaceDE w:val="0"/>
        <w:autoSpaceDN w:val="0"/>
        <w:adjustRightInd w:val="0"/>
        <w:jc w:val="left"/>
        <w:rPr>
          <w:rFonts w:cs="Arial"/>
          <w:sz w:val="24"/>
          <w:szCs w:val="24"/>
        </w:rPr>
      </w:pPr>
    </w:p>
    <w:p w:rsidR="00143096" w:rsidRPr="00656AD3" w:rsidRDefault="00632E64" w:rsidP="00143096">
      <w:pPr>
        <w:pStyle w:val="ListParagraph"/>
        <w:spacing w:after="0" w:line="240" w:lineRule="auto"/>
        <w:ind w:left="851" w:hanging="851"/>
        <w:rPr>
          <w:rFonts w:ascii="Arial" w:hAnsi="Arial" w:cs="Arial"/>
          <w:sz w:val="24"/>
          <w:szCs w:val="24"/>
        </w:rPr>
      </w:pPr>
      <w:r>
        <w:rPr>
          <w:rFonts w:ascii="Arial" w:hAnsi="Arial" w:cs="Arial"/>
          <w:sz w:val="24"/>
          <w:szCs w:val="24"/>
        </w:rPr>
        <w:t>3.4.5.7</w:t>
      </w:r>
      <w:r w:rsidR="00143096" w:rsidRPr="00143096">
        <w:rPr>
          <w:rFonts w:ascii="Arial" w:hAnsi="Arial" w:cs="Arial"/>
          <w:sz w:val="24"/>
          <w:szCs w:val="24"/>
        </w:rPr>
        <w:tab/>
        <w:t>It was intended that, from 2021/22, local authorities would retain 75% of the Business Rates that they collect.  However, this has now been postponed due the focus within Central Government on the response to the Covid-19 pandemic</w:t>
      </w:r>
      <w:r w:rsidR="007311CC">
        <w:rPr>
          <w:rFonts w:ascii="Arial" w:hAnsi="Arial" w:cs="Arial"/>
          <w:sz w:val="24"/>
          <w:szCs w:val="24"/>
        </w:rPr>
        <w:t xml:space="preserve"> during the last two years, and now the response to the cost of living crisis</w:t>
      </w:r>
      <w:r w:rsidR="00143096" w:rsidRPr="00143096">
        <w:rPr>
          <w:rFonts w:ascii="Arial" w:hAnsi="Arial" w:cs="Arial"/>
          <w:sz w:val="24"/>
          <w:szCs w:val="24"/>
        </w:rPr>
        <w:t>.</w:t>
      </w:r>
      <w:r w:rsidR="00143096">
        <w:rPr>
          <w:rFonts w:ascii="Arial" w:hAnsi="Arial" w:cs="Arial"/>
          <w:sz w:val="24"/>
          <w:szCs w:val="24"/>
        </w:rPr>
        <w:t xml:space="preserve"> </w:t>
      </w:r>
    </w:p>
    <w:p w:rsidR="00054514" w:rsidRPr="00656AD3" w:rsidRDefault="00054514" w:rsidP="00054514">
      <w:pPr>
        <w:pStyle w:val="ListParagraph"/>
        <w:spacing w:after="0" w:line="240" w:lineRule="auto"/>
        <w:ind w:left="851" w:hanging="851"/>
        <w:rPr>
          <w:rFonts w:ascii="Arial" w:hAnsi="Arial" w:cs="Arial"/>
          <w:sz w:val="24"/>
          <w:szCs w:val="24"/>
        </w:rPr>
      </w:pPr>
    </w:p>
    <w:p w:rsidR="00054514"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3.</w:t>
      </w:r>
      <w:r>
        <w:rPr>
          <w:rFonts w:ascii="Arial" w:hAnsi="Arial" w:cs="Arial"/>
          <w:sz w:val="24"/>
          <w:szCs w:val="24"/>
        </w:rPr>
        <w:t>4.</w:t>
      </w:r>
      <w:r w:rsidR="0027437C">
        <w:rPr>
          <w:rFonts w:ascii="Arial" w:hAnsi="Arial" w:cs="Arial"/>
          <w:sz w:val="24"/>
          <w:szCs w:val="24"/>
        </w:rPr>
        <w:t>5</w:t>
      </w:r>
      <w:r w:rsidR="00632E64">
        <w:rPr>
          <w:rFonts w:ascii="Arial" w:hAnsi="Arial" w:cs="Arial"/>
          <w:sz w:val="24"/>
          <w:szCs w:val="24"/>
        </w:rPr>
        <w:t>.8</w:t>
      </w:r>
      <w:r w:rsidRPr="00656AD3">
        <w:rPr>
          <w:rFonts w:ascii="Arial" w:hAnsi="Arial" w:cs="Arial"/>
          <w:sz w:val="24"/>
          <w:szCs w:val="24"/>
        </w:rPr>
        <w:tab/>
        <w:t>It has been agr</w:t>
      </w:r>
      <w:r w:rsidR="002930C6">
        <w:rPr>
          <w:rFonts w:ascii="Arial" w:hAnsi="Arial" w:cs="Arial"/>
          <w:sz w:val="24"/>
          <w:szCs w:val="24"/>
        </w:rPr>
        <w:t>eed by the Economic Prosperity</w:t>
      </w:r>
      <w:r w:rsidRPr="00656AD3">
        <w:rPr>
          <w:rFonts w:ascii="Arial" w:hAnsi="Arial" w:cs="Arial"/>
          <w:sz w:val="24"/>
          <w:szCs w:val="24"/>
        </w:rPr>
        <w:t xml:space="preserve"> Committee, consisting of Nottinghamshire and Derbyshire Local Authorities, that a 50% proportion of any surplus made by Mansfield District Council from being part of the Nottinghamshire Business Rates Pool be used to support economic regeneration.  Use of this element in the future will need to be determ</w:t>
      </w:r>
      <w:r w:rsidR="002930C6">
        <w:rPr>
          <w:rFonts w:ascii="Arial" w:hAnsi="Arial" w:cs="Arial"/>
          <w:sz w:val="24"/>
          <w:szCs w:val="24"/>
        </w:rPr>
        <w:t>ined by the Economic Prosperity</w:t>
      </w:r>
      <w:r w:rsidRPr="00656AD3">
        <w:rPr>
          <w:rFonts w:ascii="Arial" w:hAnsi="Arial" w:cs="Arial"/>
          <w:sz w:val="24"/>
          <w:szCs w:val="24"/>
        </w:rPr>
        <w:t xml:space="preserve"> Committee and possibly returned to local authorities to determine their need locally.</w:t>
      </w:r>
    </w:p>
    <w:p w:rsidR="0086594C" w:rsidRDefault="0086594C" w:rsidP="00054514">
      <w:pPr>
        <w:pStyle w:val="ListParagraph"/>
        <w:spacing w:after="0" w:line="240" w:lineRule="auto"/>
        <w:ind w:left="851" w:hanging="851"/>
        <w:rPr>
          <w:rFonts w:ascii="Arial" w:hAnsi="Arial" w:cs="Arial"/>
          <w:sz w:val="24"/>
          <w:szCs w:val="24"/>
        </w:rPr>
      </w:pPr>
    </w:p>
    <w:p w:rsidR="0086594C" w:rsidRPr="00656AD3" w:rsidRDefault="00632E64" w:rsidP="00054514">
      <w:pPr>
        <w:pStyle w:val="ListParagraph"/>
        <w:spacing w:after="0" w:line="240" w:lineRule="auto"/>
        <w:ind w:left="851" w:hanging="851"/>
        <w:rPr>
          <w:rFonts w:ascii="Arial" w:hAnsi="Arial" w:cs="Arial"/>
          <w:sz w:val="24"/>
          <w:szCs w:val="24"/>
        </w:rPr>
      </w:pPr>
      <w:r>
        <w:rPr>
          <w:rFonts w:ascii="Arial" w:hAnsi="Arial" w:cs="Arial"/>
          <w:sz w:val="24"/>
          <w:szCs w:val="24"/>
        </w:rPr>
        <w:t>3.4.5.9</w:t>
      </w:r>
      <w:r w:rsidR="0086594C">
        <w:rPr>
          <w:rFonts w:ascii="Arial" w:hAnsi="Arial" w:cs="Arial"/>
          <w:sz w:val="24"/>
          <w:szCs w:val="24"/>
        </w:rPr>
        <w:tab/>
        <w:t>Mansfield District Council along with all other Nottinghamshire Districts and the County Council have agreed to continue wit</w:t>
      </w:r>
      <w:r w:rsidR="00595BD2">
        <w:rPr>
          <w:rFonts w:ascii="Arial" w:hAnsi="Arial" w:cs="Arial"/>
          <w:sz w:val="24"/>
          <w:szCs w:val="24"/>
        </w:rPr>
        <w:t>h the Pool arrangements for 2023/24</w:t>
      </w:r>
      <w:r w:rsidR="0086594C">
        <w:rPr>
          <w:rFonts w:ascii="Arial" w:hAnsi="Arial" w:cs="Arial"/>
          <w:sz w:val="24"/>
          <w:szCs w:val="24"/>
        </w:rPr>
        <w:t>.</w:t>
      </w:r>
    </w:p>
    <w:p w:rsidR="00054514" w:rsidRPr="00656AD3" w:rsidRDefault="00054514" w:rsidP="00054514">
      <w:pPr>
        <w:ind w:left="851" w:hanging="851"/>
        <w:jc w:val="left"/>
        <w:rPr>
          <w:b/>
          <w:sz w:val="24"/>
          <w:szCs w:val="24"/>
        </w:rPr>
      </w:pPr>
    </w:p>
    <w:p w:rsidR="00054514" w:rsidRPr="00656AD3" w:rsidRDefault="00054514" w:rsidP="00054514">
      <w:pPr>
        <w:ind w:left="851" w:hanging="851"/>
        <w:jc w:val="left"/>
        <w:rPr>
          <w:b/>
          <w:sz w:val="24"/>
          <w:szCs w:val="24"/>
        </w:rPr>
      </w:pPr>
    </w:p>
    <w:p w:rsidR="00054514" w:rsidRPr="00656AD3" w:rsidRDefault="00054514" w:rsidP="00054514">
      <w:pPr>
        <w:ind w:left="851" w:hanging="851"/>
        <w:jc w:val="left"/>
        <w:outlineLvl w:val="0"/>
        <w:rPr>
          <w:b/>
          <w:sz w:val="24"/>
          <w:szCs w:val="24"/>
        </w:rPr>
      </w:pPr>
      <w:r w:rsidRPr="00656AD3">
        <w:rPr>
          <w:b/>
          <w:sz w:val="24"/>
          <w:szCs w:val="24"/>
        </w:rPr>
        <w:t>3.</w:t>
      </w:r>
      <w:r>
        <w:rPr>
          <w:b/>
          <w:sz w:val="24"/>
          <w:szCs w:val="24"/>
        </w:rPr>
        <w:t>4.</w:t>
      </w:r>
      <w:r w:rsidR="0027437C">
        <w:rPr>
          <w:b/>
          <w:sz w:val="24"/>
          <w:szCs w:val="24"/>
        </w:rPr>
        <w:t>6</w:t>
      </w:r>
      <w:r w:rsidRPr="00656AD3">
        <w:rPr>
          <w:b/>
          <w:sz w:val="24"/>
          <w:szCs w:val="24"/>
        </w:rPr>
        <w:tab/>
        <w:t xml:space="preserve">Council Tax </w:t>
      </w:r>
    </w:p>
    <w:p w:rsidR="00054514" w:rsidRPr="00737CBD" w:rsidRDefault="00054514" w:rsidP="000B4253">
      <w:pPr>
        <w:jc w:val="left"/>
        <w:rPr>
          <w:sz w:val="24"/>
          <w:szCs w:val="24"/>
          <w:highlight w:val="yellow"/>
        </w:rPr>
      </w:pPr>
    </w:p>
    <w:p w:rsidR="00054514" w:rsidRPr="00896C6F" w:rsidRDefault="00054514" w:rsidP="00AF49BF">
      <w:pPr>
        <w:ind w:left="851" w:hanging="851"/>
        <w:jc w:val="left"/>
        <w:rPr>
          <w:sz w:val="24"/>
          <w:szCs w:val="24"/>
        </w:rPr>
      </w:pPr>
      <w:r w:rsidRPr="00896C6F">
        <w:rPr>
          <w:sz w:val="24"/>
          <w:szCs w:val="24"/>
        </w:rPr>
        <w:t>3.4.</w:t>
      </w:r>
      <w:r w:rsidR="0027437C" w:rsidRPr="00896C6F">
        <w:rPr>
          <w:sz w:val="24"/>
          <w:szCs w:val="24"/>
        </w:rPr>
        <w:t>6</w:t>
      </w:r>
      <w:r w:rsidR="000B4253">
        <w:rPr>
          <w:sz w:val="24"/>
          <w:szCs w:val="24"/>
        </w:rPr>
        <w:t>.1</w:t>
      </w:r>
      <w:r w:rsidRPr="00896C6F">
        <w:rPr>
          <w:sz w:val="24"/>
          <w:szCs w:val="24"/>
        </w:rPr>
        <w:tab/>
        <w:t xml:space="preserve">Central Government have powers to limit the amount a local authority can increase its Council Tax levels before a local referendum would have to be held asking residents whether they agree to the increase.  </w:t>
      </w:r>
      <w:r w:rsidR="00AF49BF" w:rsidRPr="00896C6F">
        <w:rPr>
          <w:sz w:val="24"/>
          <w:szCs w:val="24"/>
        </w:rPr>
        <w:t>For the fin</w:t>
      </w:r>
      <w:r w:rsidR="003E6D22">
        <w:rPr>
          <w:sz w:val="24"/>
          <w:szCs w:val="24"/>
        </w:rPr>
        <w:t>ancial year 2023/24</w:t>
      </w:r>
      <w:r w:rsidR="00AF49BF" w:rsidRPr="00896C6F">
        <w:rPr>
          <w:sz w:val="24"/>
          <w:szCs w:val="24"/>
        </w:rPr>
        <w:t xml:space="preserve">, </w:t>
      </w:r>
      <w:r w:rsidRPr="00896C6F">
        <w:rPr>
          <w:sz w:val="24"/>
          <w:szCs w:val="24"/>
        </w:rPr>
        <w:t>Central Government state</w:t>
      </w:r>
      <w:r w:rsidR="00AF49BF" w:rsidRPr="00896C6F">
        <w:rPr>
          <w:sz w:val="24"/>
          <w:szCs w:val="24"/>
        </w:rPr>
        <w:t>d</w:t>
      </w:r>
      <w:r w:rsidRPr="00896C6F">
        <w:rPr>
          <w:sz w:val="24"/>
          <w:szCs w:val="24"/>
        </w:rPr>
        <w:t xml:space="preserve"> that Local Authorities </w:t>
      </w:r>
      <w:r w:rsidR="00AF49BF" w:rsidRPr="00896C6F">
        <w:rPr>
          <w:sz w:val="24"/>
          <w:szCs w:val="24"/>
        </w:rPr>
        <w:t>were able</w:t>
      </w:r>
      <w:r w:rsidR="002930C6">
        <w:rPr>
          <w:sz w:val="24"/>
          <w:szCs w:val="24"/>
        </w:rPr>
        <w:t xml:space="preserve"> to increase Council Tax by </w:t>
      </w:r>
      <w:r w:rsidR="003E6D22">
        <w:rPr>
          <w:sz w:val="24"/>
          <w:szCs w:val="24"/>
        </w:rPr>
        <w:t>3</w:t>
      </w:r>
      <w:r w:rsidRPr="00896C6F">
        <w:rPr>
          <w:sz w:val="24"/>
          <w:szCs w:val="24"/>
        </w:rPr>
        <w:t>%</w:t>
      </w:r>
      <w:r w:rsidR="00AF49BF" w:rsidRPr="00896C6F">
        <w:rPr>
          <w:sz w:val="24"/>
          <w:szCs w:val="24"/>
        </w:rPr>
        <w:t>, or by £5 on a Band D equivalent, whichever is higher,</w:t>
      </w:r>
      <w:r w:rsidRPr="00896C6F">
        <w:rPr>
          <w:sz w:val="24"/>
          <w:szCs w:val="24"/>
        </w:rPr>
        <w:t xml:space="preserve"> before having to hold a referendum</w:t>
      </w:r>
      <w:r w:rsidR="003E6D22">
        <w:rPr>
          <w:sz w:val="24"/>
          <w:szCs w:val="24"/>
        </w:rPr>
        <w:t>.</w:t>
      </w:r>
    </w:p>
    <w:p w:rsidR="00054514" w:rsidRPr="00737CBD" w:rsidRDefault="00054514" w:rsidP="00054514">
      <w:pPr>
        <w:ind w:left="851" w:hanging="851"/>
        <w:jc w:val="left"/>
        <w:rPr>
          <w:sz w:val="24"/>
          <w:szCs w:val="24"/>
          <w:highlight w:val="yellow"/>
        </w:rPr>
      </w:pPr>
    </w:p>
    <w:p w:rsidR="00054514" w:rsidRPr="00BA42A4" w:rsidRDefault="00054514" w:rsidP="00054514">
      <w:pPr>
        <w:ind w:left="851" w:hanging="851"/>
        <w:jc w:val="left"/>
        <w:rPr>
          <w:sz w:val="24"/>
          <w:szCs w:val="24"/>
        </w:rPr>
      </w:pPr>
      <w:r w:rsidRPr="00BA42A4">
        <w:rPr>
          <w:sz w:val="24"/>
          <w:szCs w:val="24"/>
        </w:rPr>
        <w:t>3.4.</w:t>
      </w:r>
      <w:r w:rsidR="0027437C" w:rsidRPr="00BA42A4">
        <w:rPr>
          <w:sz w:val="24"/>
          <w:szCs w:val="24"/>
        </w:rPr>
        <w:t>6</w:t>
      </w:r>
      <w:r w:rsidR="000B4253">
        <w:rPr>
          <w:sz w:val="24"/>
          <w:szCs w:val="24"/>
        </w:rPr>
        <w:t>.2</w:t>
      </w:r>
      <w:r w:rsidRPr="00BA42A4">
        <w:rPr>
          <w:sz w:val="24"/>
          <w:szCs w:val="24"/>
        </w:rPr>
        <w:tab/>
        <w:t>The Council Tax Base is the basis on which the Council Tax is set each year for Mansfield District Council and for the precept raised by Nottinghamshire County Council, the Nottinghamshire Police and Crime Commissioner and Nottinghamshire Fire and Rescue Service.</w:t>
      </w:r>
    </w:p>
    <w:p w:rsidR="00054514" w:rsidRPr="00737CBD" w:rsidRDefault="00054514" w:rsidP="00054514">
      <w:pPr>
        <w:ind w:left="851" w:hanging="851"/>
        <w:jc w:val="left"/>
        <w:rPr>
          <w:sz w:val="24"/>
          <w:szCs w:val="24"/>
          <w:highlight w:val="yellow"/>
        </w:rPr>
      </w:pPr>
    </w:p>
    <w:p w:rsidR="00054514" w:rsidRPr="00BA42A4" w:rsidRDefault="00054514" w:rsidP="00054514">
      <w:pPr>
        <w:ind w:left="851" w:hanging="851"/>
        <w:jc w:val="left"/>
        <w:rPr>
          <w:sz w:val="24"/>
          <w:szCs w:val="24"/>
        </w:rPr>
      </w:pPr>
      <w:r w:rsidRPr="00BA42A4">
        <w:rPr>
          <w:sz w:val="24"/>
          <w:szCs w:val="24"/>
        </w:rPr>
        <w:t>3.4.</w:t>
      </w:r>
      <w:r w:rsidR="0027437C" w:rsidRPr="00BA42A4">
        <w:rPr>
          <w:sz w:val="24"/>
          <w:szCs w:val="24"/>
        </w:rPr>
        <w:t>6</w:t>
      </w:r>
      <w:r w:rsidR="000B4253">
        <w:rPr>
          <w:sz w:val="24"/>
          <w:szCs w:val="24"/>
        </w:rPr>
        <w:t>.3</w:t>
      </w:r>
      <w:r w:rsidRPr="00BA42A4">
        <w:rPr>
          <w:sz w:val="24"/>
          <w:szCs w:val="24"/>
        </w:rPr>
        <w:tab/>
        <w:t xml:space="preserve">For residents of </w:t>
      </w:r>
      <w:proofErr w:type="spellStart"/>
      <w:r w:rsidRPr="00BA42A4">
        <w:rPr>
          <w:sz w:val="24"/>
          <w:szCs w:val="24"/>
        </w:rPr>
        <w:t>Warsop</w:t>
      </w:r>
      <w:proofErr w:type="spellEnd"/>
      <w:r w:rsidRPr="00BA42A4">
        <w:rPr>
          <w:sz w:val="24"/>
          <w:szCs w:val="24"/>
        </w:rPr>
        <w:t xml:space="preserve"> there is an additional precept raised by the parish council which requires a separate base to be identified for that area.</w:t>
      </w:r>
    </w:p>
    <w:p w:rsidR="00054514" w:rsidRPr="00BA42A4" w:rsidRDefault="00054514" w:rsidP="00054514">
      <w:pPr>
        <w:ind w:left="851" w:hanging="851"/>
        <w:jc w:val="left"/>
        <w:rPr>
          <w:sz w:val="24"/>
          <w:szCs w:val="24"/>
        </w:rPr>
      </w:pPr>
    </w:p>
    <w:p w:rsidR="00054514" w:rsidRPr="00BA42A4" w:rsidRDefault="00054514" w:rsidP="00F15A8D">
      <w:pPr>
        <w:ind w:left="851" w:hanging="851"/>
        <w:jc w:val="left"/>
        <w:rPr>
          <w:sz w:val="24"/>
          <w:szCs w:val="24"/>
        </w:rPr>
      </w:pPr>
      <w:r w:rsidRPr="00BA42A4">
        <w:rPr>
          <w:sz w:val="24"/>
          <w:szCs w:val="24"/>
        </w:rPr>
        <w:t>3.4.</w:t>
      </w:r>
      <w:r w:rsidR="0027437C" w:rsidRPr="00BA42A4">
        <w:rPr>
          <w:sz w:val="24"/>
          <w:szCs w:val="24"/>
        </w:rPr>
        <w:t>6</w:t>
      </w:r>
      <w:r w:rsidR="000B4253">
        <w:rPr>
          <w:sz w:val="24"/>
          <w:szCs w:val="24"/>
        </w:rPr>
        <w:t>.4</w:t>
      </w:r>
      <w:r w:rsidR="00EC5120" w:rsidRPr="00BA42A4">
        <w:rPr>
          <w:sz w:val="24"/>
          <w:szCs w:val="24"/>
        </w:rPr>
        <w:tab/>
      </w:r>
      <w:r w:rsidR="002930C6">
        <w:rPr>
          <w:sz w:val="24"/>
          <w:szCs w:val="24"/>
        </w:rPr>
        <w:t xml:space="preserve">The budget contains an </w:t>
      </w:r>
      <w:r w:rsidR="004B7C20">
        <w:rPr>
          <w:sz w:val="24"/>
          <w:szCs w:val="24"/>
        </w:rPr>
        <w:t xml:space="preserve">element </w:t>
      </w:r>
      <w:r w:rsidR="002930C6">
        <w:rPr>
          <w:sz w:val="24"/>
          <w:szCs w:val="24"/>
        </w:rPr>
        <w:t xml:space="preserve">for council tax base growth for </w:t>
      </w:r>
      <w:r w:rsidR="002D0C0D">
        <w:rPr>
          <w:sz w:val="24"/>
          <w:szCs w:val="24"/>
        </w:rPr>
        <w:t>20</w:t>
      </w:r>
      <w:r w:rsidR="002930C6">
        <w:rPr>
          <w:sz w:val="24"/>
          <w:szCs w:val="24"/>
        </w:rPr>
        <w:t>23</w:t>
      </w:r>
      <w:r w:rsidR="00081E6B">
        <w:rPr>
          <w:sz w:val="24"/>
          <w:szCs w:val="24"/>
        </w:rPr>
        <w:t>/</w:t>
      </w:r>
      <w:r w:rsidR="002930C6">
        <w:rPr>
          <w:sz w:val="24"/>
          <w:szCs w:val="24"/>
        </w:rPr>
        <w:t>24</w:t>
      </w:r>
      <w:r w:rsidR="004B7C20">
        <w:rPr>
          <w:sz w:val="24"/>
          <w:szCs w:val="24"/>
        </w:rPr>
        <w:t xml:space="preserve">, based on the </w:t>
      </w:r>
      <w:r w:rsidR="002930C6">
        <w:rPr>
          <w:sz w:val="24"/>
          <w:szCs w:val="24"/>
        </w:rPr>
        <w:t>figure calculated in December</w:t>
      </w:r>
      <w:r w:rsidR="003E6D22">
        <w:rPr>
          <w:sz w:val="24"/>
          <w:szCs w:val="24"/>
        </w:rPr>
        <w:t xml:space="preserve"> 2022.</w:t>
      </w:r>
    </w:p>
    <w:p w:rsidR="00054514" w:rsidRPr="00737CBD" w:rsidRDefault="00054514" w:rsidP="00F15A8D">
      <w:pPr>
        <w:jc w:val="left"/>
        <w:rPr>
          <w:sz w:val="24"/>
          <w:szCs w:val="24"/>
          <w:highlight w:val="yellow"/>
        </w:rPr>
      </w:pPr>
    </w:p>
    <w:p w:rsidR="00AB54E0" w:rsidRDefault="00054514" w:rsidP="008D4B66">
      <w:pPr>
        <w:ind w:left="851" w:hanging="851"/>
        <w:jc w:val="left"/>
        <w:rPr>
          <w:sz w:val="24"/>
          <w:szCs w:val="24"/>
        </w:rPr>
      </w:pPr>
      <w:r w:rsidRPr="00BA42A4">
        <w:rPr>
          <w:sz w:val="24"/>
          <w:szCs w:val="24"/>
        </w:rPr>
        <w:t>3.4.</w:t>
      </w:r>
      <w:r w:rsidR="0027437C" w:rsidRPr="00BA42A4">
        <w:rPr>
          <w:sz w:val="24"/>
          <w:szCs w:val="24"/>
        </w:rPr>
        <w:t>6</w:t>
      </w:r>
      <w:r w:rsidR="000B4253">
        <w:rPr>
          <w:sz w:val="24"/>
          <w:szCs w:val="24"/>
        </w:rPr>
        <w:t>.5</w:t>
      </w:r>
      <w:r w:rsidRPr="00BA42A4">
        <w:rPr>
          <w:sz w:val="24"/>
          <w:szCs w:val="24"/>
        </w:rPr>
        <w:tab/>
        <w:t xml:space="preserve">The following Table (Table </w:t>
      </w:r>
      <w:r w:rsidR="00EC5120" w:rsidRPr="00BA42A4">
        <w:rPr>
          <w:sz w:val="24"/>
          <w:szCs w:val="24"/>
        </w:rPr>
        <w:t>1</w:t>
      </w:r>
      <w:r w:rsidRPr="00BA42A4">
        <w:rPr>
          <w:sz w:val="24"/>
          <w:szCs w:val="24"/>
        </w:rPr>
        <w:t>) shows the additional income that the Council would be able to collect if it were to increase the Mansfield District Council element of the Council Tax bill.  It also shows the amount that would be payable annually by each of the Council Tax bands:</w:t>
      </w:r>
    </w:p>
    <w:p w:rsidR="00AB54E0" w:rsidRDefault="00AB54E0" w:rsidP="008378D6">
      <w:pPr>
        <w:jc w:val="center"/>
        <w:rPr>
          <w:sz w:val="24"/>
          <w:szCs w:val="24"/>
        </w:rPr>
      </w:pPr>
    </w:p>
    <w:p w:rsidR="00DB1EB0" w:rsidRDefault="00DB1EB0" w:rsidP="0035778C">
      <w:pPr>
        <w:rPr>
          <w:b/>
          <w:sz w:val="24"/>
          <w:szCs w:val="24"/>
        </w:rPr>
      </w:pPr>
    </w:p>
    <w:p w:rsidR="00713124" w:rsidRPr="002930C6" w:rsidRDefault="00054514" w:rsidP="002930C6">
      <w:pPr>
        <w:jc w:val="center"/>
        <w:rPr>
          <w:sz w:val="24"/>
          <w:szCs w:val="24"/>
        </w:rPr>
      </w:pPr>
      <w:r w:rsidRPr="00860DFA">
        <w:rPr>
          <w:b/>
          <w:sz w:val="24"/>
          <w:szCs w:val="24"/>
        </w:rPr>
        <w:t xml:space="preserve">Table </w:t>
      </w:r>
      <w:r w:rsidR="00EC5120" w:rsidRPr="00860DFA">
        <w:rPr>
          <w:b/>
          <w:sz w:val="24"/>
          <w:szCs w:val="24"/>
        </w:rPr>
        <w:t>1</w:t>
      </w:r>
    </w:p>
    <w:p w:rsidR="00984792" w:rsidRDefault="00713124" w:rsidP="00984792">
      <w:pPr>
        <w:ind w:left="720" w:hanging="720"/>
        <w:jc w:val="left"/>
        <w:rPr>
          <w:sz w:val="24"/>
          <w:szCs w:val="24"/>
        </w:rPr>
      </w:pPr>
      <w:r>
        <w:rPr>
          <w:sz w:val="24"/>
          <w:szCs w:val="24"/>
        </w:rPr>
        <w:tab/>
      </w:r>
    </w:p>
    <w:p w:rsidR="00713124" w:rsidRDefault="00DB1EB0" w:rsidP="00FC7606">
      <w:pPr>
        <w:ind w:left="720" w:hanging="720"/>
        <w:jc w:val="center"/>
        <w:rPr>
          <w:sz w:val="24"/>
          <w:szCs w:val="24"/>
        </w:rPr>
      </w:pPr>
      <w:r w:rsidRPr="00DB1EB0">
        <w:rPr>
          <w:noProof/>
        </w:rPr>
        <w:drawing>
          <wp:inline distT="0" distB="0" distL="0" distR="0">
            <wp:extent cx="5731510" cy="26105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10535"/>
                    </a:xfrm>
                    <a:prstGeom prst="rect">
                      <a:avLst/>
                    </a:prstGeom>
                    <a:noFill/>
                    <a:ln>
                      <a:noFill/>
                    </a:ln>
                  </pic:spPr>
                </pic:pic>
              </a:graphicData>
            </a:graphic>
          </wp:inline>
        </w:drawing>
      </w:r>
    </w:p>
    <w:p w:rsidR="00CA63BB" w:rsidRPr="00737CBD" w:rsidRDefault="00CA63BB" w:rsidP="00896C6F">
      <w:pPr>
        <w:jc w:val="left"/>
        <w:rPr>
          <w:sz w:val="24"/>
          <w:szCs w:val="24"/>
          <w:highlight w:val="yellow"/>
        </w:rPr>
      </w:pPr>
    </w:p>
    <w:p w:rsidR="00355F7D" w:rsidRDefault="00054514" w:rsidP="00F70706">
      <w:pPr>
        <w:ind w:left="851" w:hanging="851"/>
        <w:jc w:val="left"/>
        <w:rPr>
          <w:sz w:val="24"/>
          <w:szCs w:val="24"/>
        </w:rPr>
      </w:pPr>
      <w:r w:rsidRPr="00BA42A4">
        <w:rPr>
          <w:sz w:val="24"/>
          <w:szCs w:val="24"/>
        </w:rPr>
        <w:t>3.4.</w:t>
      </w:r>
      <w:r w:rsidR="0027437C" w:rsidRPr="00BA42A4">
        <w:rPr>
          <w:sz w:val="24"/>
          <w:szCs w:val="24"/>
        </w:rPr>
        <w:t>6</w:t>
      </w:r>
      <w:r w:rsidRPr="00BA42A4">
        <w:rPr>
          <w:sz w:val="24"/>
          <w:szCs w:val="24"/>
        </w:rPr>
        <w:t>.</w:t>
      </w:r>
      <w:r w:rsidR="000B4253">
        <w:rPr>
          <w:sz w:val="24"/>
          <w:szCs w:val="24"/>
        </w:rPr>
        <w:t>6</w:t>
      </w:r>
      <w:r w:rsidRPr="00BA42A4">
        <w:rPr>
          <w:sz w:val="24"/>
          <w:szCs w:val="24"/>
        </w:rPr>
        <w:tab/>
        <w:t xml:space="preserve">The Council’s proposed budget does not make any assumptions in relation to an increase in the level of Council Tax that is to be </w:t>
      </w:r>
      <w:proofErr w:type="spellStart"/>
      <w:r w:rsidRPr="00BA42A4">
        <w:rPr>
          <w:sz w:val="24"/>
          <w:szCs w:val="24"/>
        </w:rPr>
        <w:t>precepted</w:t>
      </w:r>
      <w:proofErr w:type="spellEnd"/>
      <w:r w:rsidRPr="00BA42A4">
        <w:rPr>
          <w:sz w:val="24"/>
          <w:szCs w:val="24"/>
        </w:rPr>
        <w:t xml:space="preserve"> on the residents of Mansfield District; any growth in income collected from Council Tax is based on in-year growth in the number of properties that are eligible to pay Council Tax.</w:t>
      </w:r>
      <w:r w:rsidR="00F70706">
        <w:rPr>
          <w:sz w:val="24"/>
          <w:szCs w:val="24"/>
        </w:rPr>
        <w:t xml:space="preserve"> </w:t>
      </w:r>
    </w:p>
    <w:p w:rsidR="00F70706" w:rsidRDefault="00F70706" w:rsidP="00F15A8D">
      <w:pPr>
        <w:jc w:val="left"/>
        <w:rPr>
          <w:sz w:val="24"/>
          <w:szCs w:val="24"/>
        </w:rPr>
      </w:pPr>
    </w:p>
    <w:p w:rsidR="00F15A8D" w:rsidRDefault="00F15A8D" w:rsidP="00F15A8D">
      <w:pPr>
        <w:jc w:val="left"/>
        <w:rPr>
          <w:sz w:val="24"/>
          <w:szCs w:val="24"/>
        </w:rPr>
      </w:pPr>
    </w:p>
    <w:p w:rsidR="00F70706" w:rsidRPr="00D02A30" w:rsidRDefault="0027437C" w:rsidP="00F70706">
      <w:pPr>
        <w:ind w:left="851" w:hanging="851"/>
        <w:jc w:val="left"/>
        <w:rPr>
          <w:b/>
          <w:sz w:val="24"/>
          <w:szCs w:val="24"/>
        </w:rPr>
      </w:pPr>
      <w:r>
        <w:rPr>
          <w:b/>
          <w:sz w:val="24"/>
          <w:szCs w:val="24"/>
        </w:rPr>
        <w:t>3.4.7</w:t>
      </w:r>
      <w:r w:rsidR="00F70706" w:rsidRPr="00D02A30">
        <w:rPr>
          <w:b/>
          <w:sz w:val="24"/>
          <w:szCs w:val="24"/>
        </w:rPr>
        <w:tab/>
        <w:t>Collection Fund Surpluses and Deficits</w:t>
      </w:r>
    </w:p>
    <w:p w:rsidR="00F70706" w:rsidRDefault="00F70706" w:rsidP="00F70706">
      <w:pPr>
        <w:ind w:left="851" w:hanging="851"/>
        <w:jc w:val="left"/>
        <w:rPr>
          <w:sz w:val="24"/>
          <w:szCs w:val="24"/>
        </w:rPr>
      </w:pPr>
    </w:p>
    <w:p w:rsidR="00F70706" w:rsidRDefault="0027437C" w:rsidP="00F70706">
      <w:pPr>
        <w:ind w:left="851" w:hanging="851"/>
        <w:jc w:val="left"/>
        <w:rPr>
          <w:sz w:val="24"/>
          <w:szCs w:val="24"/>
        </w:rPr>
      </w:pPr>
      <w:r>
        <w:rPr>
          <w:sz w:val="24"/>
          <w:szCs w:val="24"/>
        </w:rPr>
        <w:t>3.4.7</w:t>
      </w:r>
      <w:r w:rsidR="00F70706">
        <w:rPr>
          <w:sz w:val="24"/>
          <w:szCs w:val="24"/>
        </w:rPr>
        <w:t>.1</w:t>
      </w:r>
      <w:r w:rsidR="00F70706">
        <w:rPr>
          <w:sz w:val="24"/>
          <w:szCs w:val="24"/>
        </w:rPr>
        <w:tab/>
        <w:t xml:space="preserve">Central government have </w:t>
      </w:r>
      <w:r w:rsidR="00814033">
        <w:rPr>
          <w:sz w:val="24"/>
          <w:szCs w:val="24"/>
        </w:rPr>
        <w:t xml:space="preserve">permitted councils to spread </w:t>
      </w:r>
      <w:r w:rsidR="00F70706">
        <w:rPr>
          <w:sz w:val="24"/>
          <w:szCs w:val="24"/>
        </w:rPr>
        <w:t xml:space="preserve">surpluses and deficits for Council Tax </w:t>
      </w:r>
      <w:r w:rsidR="00814033">
        <w:rPr>
          <w:sz w:val="24"/>
          <w:szCs w:val="24"/>
        </w:rPr>
        <w:t>and Business Rates</w:t>
      </w:r>
      <w:r w:rsidR="00F70706">
        <w:rPr>
          <w:sz w:val="24"/>
          <w:szCs w:val="24"/>
        </w:rPr>
        <w:t xml:space="preserve"> over the next three years, as they predict</w:t>
      </w:r>
      <w:r w:rsidR="00814033">
        <w:rPr>
          <w:sz w:val="24"/>
          <w:szCs w:val="24"/>
        </w:rPr>
        <w:t>ed</w:t>
      </w:r>
      <w:r w:rsidR="00F70706">
        <w:rPr>
          <w:sz w:val="24"/>
          <w:szCs w:val="24"/>
        </w:rPr>
        <w:t xml:space="preserve"> that deficit on these income streams will be greater than initially anticipated, and this wi</w:t>
      </w:r>
      <w:r w:rsidR="00737CBD">
        <w:rPr>
          <w:sz w:val="24"/>
          <w:szCs w:val="24"/>
        </w:rPr>
        <w:t>ll lessen the impact on the</w:t>
      </w:r>
      <w:r w:rsidR="00595BD2">
        <w:rPr>
          <w:sz w:val="24"/>
          <w:szCs w:val="24"/>
        </w:rPr>
        <w:t xml:space="preserve"> 2023/24</w:t>
      </w:r>
      <w:r w:rsidR="00F70706">
        <w:rPr>
          <w:sz w:val="24"/>
          <w:szCs w:val="24"/>
        </w:rPr>
        <w:t xml:space="preserve"> budget.</w:t>
      </w:r>
    </w:p>
    <w:p w:rsidR="00F70706" w:rsidRDefault="00F70706" w:rsidP="00F70706">
      <w:pPr>
        <w:ind w:left="851" w:hanging="851"/>
        <w:jc w:val="left"/>
        <w:rPr>
          <w:sz w:val="24"/>
          <w:szCs w:val="24"/>
        </w:rPr>
      </w:pPr>
    </w:p>
    <w:p w:rsidR="00F70706" w:rsidRPr="00DA1C00" w:rsidRDefault="0027437C" w:rsidP="00F70706">
      <w:pPr>
        <w:ind w:left="851" w:hanging="851"/>
        <w:jc w:val="left"/>
        <w:rPr>
          <w:sz w:val="24"/>
          <w:szCs w:val="24"/>
        </w:rPr>
      </w:pPr>
      <w:r>
        <w:rPr>
          <w:sz w:val="24"/>
          <w:szCs w:val="24"/>
        </w:rPr>
        <w:t>3.4.7</w:t>
      </w:r>
      <w:r w:rsidR="00F70706">
        <w:rPr>
          <w:sz w:val="24"/>
          <w:szCs w:val="24"/>
        </w:rPr>
        <w:t>.</w:t>
      </w:r>
      <w:r w:rsidR="00F70706" w:rsidRPr="00DA1C00">
        <w:rPr>
          <w:sz w:val="24"/>
          <w:szCs w:val="24"/>
        </w:rPr>
        <w:t>2</w:t>
      </w:r>
      <w:r w:rsidR="00F70706" w:rsidRPr="00DA1C00">
        <w:rPr>
          <w:sz w:val="24"/>
          <w:szCs w:val="24"/>
        </w:rPr>
        <w:tab/>
        <w:t xml:space="preserve">Traditionally, the process of sharing surpluses or deficits on the Collection Fund takes place over two years. </w:t>
      </w:r>
      <w:r w:rsidR="00F70706" w:rsidRPr="00814033">
        <w:rPr>
          <w:sz w:val="24"/>
          <w:szCs w:val="24"/>
        </w:rPr>
        <w:t xml:space="preserve">As a result of Covid-19, there </w:t>
      </w:r>
      <w:r w:rsidR="00814033" w:rsidRPr="00814033">
        <w:rPr>
          <w:sz w:val="24"/>
          <w:szCs w:val="24"/>
        </w:rPr>
        <w:t xml:space="preserve">was expected to be </w:t>
      </w:r>
      <w:r w:rsidR="00F70706" w:rsidRPr="00814033">
        <w:rPr>
          <w:sz w:val="24"/>
          <w:szCs w:val="24"/>
        </w:rPr>
        <w:t>a larger</w:t>
      </w:r>
      <w:r w:rsidR="00DA1C00" w:rsidRPr="00814033">
        <w:rPr>
          <w:sz w:val="24"/>
          <w:szCs w:val="24"/>
        </w:rPr>
        <w:t>-than-normal deficit on the 2021-22</w:t>
      </w:r>
      <w:r w:rsidR="00F70706" w:rsidRPr="00814033">
        <w:rPr>
          <w:sz w:val="24"/>
          <w:szCs w:val="24"/>
        </w:rPr>
        <w:t xml:space="preserve"> Collection Fund.</w:t>
      </w:r>
      <w:r w:rsidR="0072286E" w:rsidRPr="00DA1C00">
        <w:rPr>
          <w:sz w:val="24"/>
          <w:szCs w:val="24"/>
        </w:rPr>
        <w:t xml:space="preserve"> </w:t>
      </w:r>
    </w:p>
    <w:p w:rsidR="0072286E" w:rsidRPr="00DA1C00" w:rsidRDefault="0072286E" w:rsidP="00F70706">
      <w:pPr>
        <w:ind w:left="851" w:hanging="851"/>
        <w:jc w:val="left"/>
        <w:rPr>
          <w:sz w:val="24"/>
          <w:szCs w:val="24"/>
        </w:rPr>
      </w:pPr>
    </w:p>
    <w:p w:rsidR="0072286E" w:rsidRDefault="0027437C" w:rsidP="00F70706">
      <w:pPr>
        <w:ind w:left="851" w:hanging="851"/>
        <w:jc w:val="left"/>
        <w:rPr>
          <w:sz w:val="24"/>
          <w:szCs w:val="24"/>
        </w:rPr>
      </w:pPr>
      <w:r w:rsidRPr="00DA1C00">
        <w:rPr>
          <w:sz w:val="24"/>
          <w:szCs w:val="24"/>
        </w:rPr>
        <w:t>3.4.7</w:t>
      </w:r>
      <w:r w:rsidR="0072286E" w:rsidRPr="00DA1C00">
        <w:rPr>
          <w:sz w:val="24"/>
          <w:szCs w:val="24"/>
        </w:rPr>
        <w:t>.3</w:t>
      </w:r>
      <w:r w:rsidR="0072286E" w:rsidRPr="00DA1C00">
        <w:rPr>
          <w:sz w:val="24"/>
          <w:szCs w:val="24"/>
        </w:rPr>
        <w:tab/>
        <w:t>To mitigate against this deficit, Central Government have amend</w:t>
      </w:r>
      <w:r w:rsidR="00355B89">
        <w:rPr>
          <w:sz w:val="24"/>
          <w:szCs w:val="24"/>
        </w:rPr>
        <w:t>ed</w:t>
      </w:r>
      <w:r w:rsidR="0072286E" w:rsidRPr="00DA1C00">
        <w:rPr>
          <w:sz w:val="24"/>
          <w:szCs w:val="24"/>
        </w:rPr>
        <w:t xml:space="preserve"> regulations so that authorities credit two-thirds of their estimated loss of council tax and no</w:t>
      </w:r>
      <w:r w:rsidR="00DA1C00" w:rsidRPr="00DA1C00">
        <w:rPr>
          <w:sz w:val="24"/>
          <w:szCs w:val="24"/>
        </w:rPr>
        <w:t>n-domestic rating income in 2021/22</w:t>
      </w:r>
      <w:r w:rsidR="0072286E" w:rsidRPr="00DA1C00">
        <w:rPr>
          <w:sz w:val="24"/>
          <w:szCs w:val="24"/>
        </w:rPr>
        <w:t xml:space="preserve"> in the calculation of the estimated surplus</w:t>
      </w:r>
      <w:r w:rsidR="00DA1C00" w:rsidRPr="00DA1C00">
        <w:rPr>
          <w:sz w:val="24"/>
          <w:szCs w:val="24"/>
        </w:rPr>
        <w:t>/deficit they make prior to 2022/23</w:t>
      </w:r>
      <w:r w:rsidR="0072286E" w:rsidRPr="00DA1C00">
        <w:rPr>
          <w:sz w:val="24"/>
          <w:szCs w:val="24"/>
        </w:rPr>
        <w:t>. This will reduce the estimated deficit on the Collection Fund that is to be tak</w:t>
      </w:r>
      <w:r w:rsidR="00DA1C00" w:rsidRPr="00DA1C00">
        <w:rPr>
          <w:sz w:val="24"/>
          <w:szCs w:val="24"/>
        </w:rPr>
        <w:t>en into account in setting 2022</w:t>
      </w:r>
      <w:r w:rsidR="00F15A8D" w:rsidRPr="00DA1C00">
        <w:rPr>
          <w:sz w:val="24"/>
          <w:szCs w:val="24"/>
        </w:rPr>
        <w:t>/</w:t>
      </w:r>
      <w:r w:rsidR="00DA1C00" w:rsidRPr="00DA1C00">
        <w:rPr>
          <w:sz w:val="24"/>
          <w:szCs w:val="24"/>
        </w:rPr>
        <w:t>23</w:t>
      </w:r>
      <w:r w:rsidR="0072286E" w:rsidRPr="00DA1C00">
        <w:rPr>
          <w:sz w:val="24"/>
          <w:szCs w:val="24"/>
        </w:rPr>
        <w:t xml:space="preserve"> budgets by</w:t>
      </w:r>
      <w:r w:rsidR="00DA1C00" w:rsidRPr="00DA1C00">
        <w:rPr>
          <w:sz w:val="24"/>
          <w:szCs w:val="24"/>
        </w:rPr>
        <w:t xml:space="preserve"> two-thirds of the loss of 2021</w:t>
      </w:r>
      <w:r w:rsidR="00F15A8D" w:rsidRPr="00DA1C00">
        <w:rPr>
          <w:sz w:val="24"/>
          <w:szCs w:val="24"/>
        </w:rPr>
        <w:t>/</w:t>
      </w:r>
      <w:r w:rsidR="00DA1C00" w:rsidRPr="00DA1C00">
        <w:rPr>
          <w:sz w:val="24"/>
          <w:szCs w:val="24"/>
        </w:rPr>
        <w:t>22</w:t>
      </w:r>
      <w:r w:rsidR="0072286E" w:rsidRPr="00DA1C00">
        <w:rPr>
          <w:sz w:val="24"/>
          <w:szCs w:val="24"/>
        </w:rPr>
        <w:t xml:space="preserve"> income, leaving authorities to deal with only a third of that loss in that year’s budgets.</w:t>
      </w:r>
      <w:r w:rsidR="00692082">
        <w:rPr>
          <w:sz w:val="24"/>
          <w:szCs w:val="24"/>
        </w:rPr>
        <w:t xml:space="preserve"> </w:t>
      </w:r>
    </w:p>
    <w:p w:rsidR="00692082" w:rsidRDefault="00692082" w:rsidP="00F70706">
      <w:pPr>
        <w:ind w:left="851" w:hanging="851"/>
        <w:jc w:val="left"/>
        <w:rPr>
          <w:sz w:val="24"/>
          <w:szCs w:val="24"/>
        </w:rPr>
      </w:pPr>
    </w:p>
    <w:p w:rsidR="00692082" w:rsidRPr="00DA1C00" w:rsidRDefault="00692082" w:rsidP="00F70706">
      <w:pPr>
        <w:ind w:left="851" w:hanging="851"/>
        <w:jc w:val="left"/>
        <w:rPr>
          <w:sz w:val="24"/>
          <w:szCs w:val="24"/>
        </w:rPr>
      </w:pPr>
      <w:r>
        <w:rPr>
          <w:sz w:val="24"/>
          <w:szCs w:val="24"/>
        </w:rPr>
        <w:t>3.4.7.4</w:t>
      </w:r>
      <w:r>
        <w:rPr>
          <w:sz w:val="24"/>
          <w:szCs w:val="24"/>
        </w:rPr>
        <w:tab/>
        <w:t xml:space="preserve">The financial year 2023/24 is the final year in which the spreading adjustment for the 2021/22 Collection Fund is required, as one third of the 2021/22 Collection Fund surplus/deficit will be paid in 2023/24. </w:t>
      </w:r>
    </w:p>
    <w:p w:rsidR="00054514" w:rsidRPr="00737CBD" w:rsidRDefault="00054514" w:rsidP="00054514">
      <w:pPr>
        <w:ind w:left="851" w:hanging="851"/>
        <w:jc w:val="left"/>
        <w:rPr>
          <w:sz w:val="24"/>
          <w:szCs w:val="24"/>
          <w:highlight w:val="darkGray"/>
        </w:rPr>
      </w:pPr>
    </w:p>
    <w:p w:rsidR="00054514" w:rsidRPr="00656AD3" w:rsidRDefault="00054514" w:rsidP="00054514">
      <w:pPr>
        <w:ind w:left="720" w:hanging="720"/>
        <w:jc w:val="left"/>
        <w:rPr>
          <w:sz w:val="24"/>
          <w:szCs w:val="24"/>
        </w:rPr>
      </w:pPr>
    </w:p>
    <w:p w:rsidR="00054514" w:rsidRPr="00656AD3" w:rsidRDefault="00054514" w:rsidP="00054514">
      <w:pPr>
        <w:ind w:left="851" w:hanging="851"/>
        <w:jc w:val="left"/>
        <w:outlineLvl w:val="0"/>
        <w:rPr>
          <w:b/>
          <w:sz w:val="24"/>
          <w:szCs w:val="24"/>
        </w:rPr>
      </w:pPr>
      <w:r w:rsidRPr="00656AD3">
        <w:rPr>
          <w:b/>
          <w:sz w:val="24"/>
          <w:szCs w:val="24"/>
        </w:rPr>
        <w:t>3.</w:t>
      </w:r>
      <w:r>
        <w:rPr>
          <w:b/>
          <w:sz w:val="24"/>
          <w:szCs w:val="24"/>
        </w:rPr>
        <w:t>4.</w:t>
      </w:r>
      <w:r w:rsidR="0027437C">
        <w:rPr>
          <w:b/>
          <w:sz w:val="24"/>
          <w:szCs w:val="24"/>
        </w:rPr>
        <w:t>8</w:t>
      </w:r>
      <w:r w:rsidRPr="00656AD3">
        <w:rPr>
          <w:b/>
          <w:sz w:val="24"/>
          <w:szCs w:val="24"/>
        </w:rPr>
        <w:tab/>
        <w:t>New Homes Bonus Grant</w:t>
      </w:r>
    </w:p>
    <w:p w:rsidR="00054514" w:rsidRPr="00656AD3" w:rsidRDefault="00054514" w:rsidP="00054514">
      <w:pPr>
        <w:ind w:left="720" w:hanging="851"/>
        <w:jc w:val="left"/>
        <w:rPr>
          <w:sz w:val="24"/>
          <w:szCs w:val="24"/>
        </w:rPr>
      </w:pPr>
    </w:p>
    <w:p w:rsidR="00054514" w:rsidRPr="00004B7C" w:rsidRDefault="00054514" w:rsidP="00054514">
      <w:pPr>
        <w:ind w:left="851" w:hanging="851"/>
        <w:jc w:val="left"/>
        <w:rPr>
          <w:sz w:val="24"/>
          <w:szCs w:val="24"/>
        </w:rPr>
      </w:pPr>
      <w:r w:rsidRPr="00004B7C">
        <w:rPr>
          <w:sz w:val="24"/>
          <w:szCs w:val="24"/>
        </w:rPr>
        <w:t>3.4.</w:t>
      </w:r>
      <w:r w:rsidR="0027437C" w:rsidRPr="00004B7C">
        <w:rPr>
          <w:sz w:val="24"/>
          <w:szCs w:val="24"/>
        </w:rPr>
        <w:t>8</w:t>
      </w:r>
      <w:r w:rsidRPr="00004B7C">
        <w:rPr>
          <w:sz w:val="24"/>
          <w:szCs w:val="24"/>
        </w:rPr>
        <w:t>.1</w:t>
      </w:r>
      <w:r w:rsidRPr="00004B7C">
        <w:rPr>
          <w:sz w:val="24"/>
          <w:szCs w:val="24"/>
        </w:rPr>
        <w:tab/>
        <w:t xml:space="preserve">Under the New Homes Bonus Grant, councils are awarded un-ring fenced grant income from Central Government where the number of houses increase within their District, including both new builds and where homes are brought back into use.  </w:t>
      </w:r>
    </w:p>
    <w:p w:rsidR="00054514" w:rsidRPr="00004B7C" w:rsidRDefault="00054514" w:rsidP="00054514">
      <w:pPr>
        <w:ind w:left="851" w:hanging="851"/>
        <w:jc w:val="left"/>
        <w:rPr>
          <w:sz w:val="24"/>
          <w:szCs w:val="24"/>
        </w:rPr>
      </w:pPr>
    </w:p>
    <w:p w:rsidR="00054514" w:rsidRDefault="00054514" w:rsidP="00054514">
      <w:pPr>
        <w:ind w:left="851" w:hanging="851"/>
        <w:jc w:val="left"/>
        <w:rPr>
          <w:sz w:val="24"/>
          <w:szCs w:val="24"/>
        </w:rPr>
      </w:pPr>
      <w:r w:rsidRPr="00004B7C">
        <w:rPr>
          <w:sz w:val="24"/>
          <w:szCs w:val="24"/>
        </w:rPr>
        <w:t>3.4.</w:t>
      </w:r>
      <w:r w:rsidR="0027437C" w:rsidRPr="00004B7C">
        <w:rPr>
          <w:sz w:val="24"/>
          <w:szCs w:val="24"/>
        </w:rPr>
        <w:t>8</w:t>
      </w:r>
      <w:r w:rsidRPr="00004B7C">
        <w:rPr>
          <w:sz w:val="24"/>
          <w:szCs w:val="24"/>
        </w:rPr>
        <w:t>.2</w:t>
      </w:r>
      <w:r w:rsidRPr="00004B7C">
        <w:rPr>
          <w:sz w:val="24"/>
          <w:szCs w:val="24"/>
        </w:rPr>
        <w:tab/>
        <w:t>The New Homes Bonu</w:t>
      </w:r>
      <w:r w:rsidR="00F33CFE" w:rsidRPr="00004B7C">
        <w:rPr>
          <w:sz w:val="24"/>
          <w:szCs w:val="24"/>
        </w:rPr>
        <w:t>s grant started from the 2011/</w:t>
      </w:r>
      <w:r w:rsidRPr="00004B7C">
        <w:rPr>
          <w:sz w:val="24"/>
          <w:szCs w:val="24"/>
        </w:rPr>
        <w:t>12 financial year, and the Council has used this to fund specific projects</w:t>
      </w:r>
      <w:r w:rsidR="00F05D8A" w:rsidRPr="00004B7C">
        <w:rPr>
          <w:sz w:val="24"/>
          <w:szCs w:val="24"/>
        </w:rPr>
        <w:t xml:space="preserve">.  </w:t>
      </w:r>
      <w:r w:rsidR="00057226" w:rsidRPr="00004B7C">
        <w:rPr>
          <w:sz w:val="24"/>
          <w:szCs w:val="24"/>
        </w:rPr>
        <w:t>A</w:t>
      </w:r>
      <w:r w:rsidRPr="00004B7C">
        <w:rPr>
          <w:sz w:val="24"/>
          <w:szCs w:val="24"/>
        </w:rPr>
        <w:t>s these have come to an end</w:t>
      </w:r>
      <w:r w:rsidR="00F05D8A" w:rsidRPr="00004B7C">
        <w:rPr>
          <w:sz w:val="24"/>
          <w:szCs w:val="24"/>
        </w:rPr>
        <w:t xml:space="preserve"> </w:t>
      </w:r>
      <w:r w:rsidR="00057226" w:rsidRPr="00004B7C">
        <w:rPr>
          <w:sz w:val="24"/>
          <w:szCs w:val="24"/>
        </w:rPr>
        <w:t>a</w:t>
      </w:r>
      <w:r w:rsidRPr="00004B7C">
        <w:rPr>
          <w:sz w:val="24"/>
          <w:szCs w:val="24"/>
        </w:rPr>
        <w:t>ny residual value has been used to assist in balancing the budget.</w:t>
      </w:r>
    </w:p>
    <w:p w:rsidR="00355B89" w:rsidRDefault="00355B89" w:rsidP="00054514">
      <w:pPr>
        <w:ind w:left="851" w:hanging="851"/>
        <w:jc w:val="left"/>
        <w:rPr>
          <w:sz w:val="24"/>
          <w:szCs w:val="24"/>
        </w:rPr>
      </w:pPr>
    </w:p>
    <w:p w:rsidR="00355B89" w:rsidRPr="00004B7C" w:rsidRDefault="00081E6B" w:rsidP="00054514">
      <w:pPr>
        <w:ind w:left="851" w:hanging="851"/>
        <w:jc w:val="left"/>
        <w:rPr>
          <w:rFonts w:cs="Arial"/>
          <w:sz w:val="24"/>
          <w:szCs w:val="24"/>
        </w:rPr>
      </w:pPr>
      <w:r>
        <w:rPr>
          <w:sz w:val="24"/>
          <w:szCs w:val="24"/>
        </w:rPr>
        <w:t>3.4.8.3</w:t>
      </w:r>
      <w:r>
        <w:rPr>
          <w:sz w:val="24"/>
          <w:szCs w:val="24"/>
        </w:rPr>
        <w:tab/>
        <w:t>The allocation of New Homes Bonus for 2023/24 has been confirmed as part of the Local Government Finance Settlement. However, this is a one-off allocation, with no legacy payments.</w:t>
      </w:r>
    </w:p>
    <w:p w:rsidR="00054514" w:rsidRDefault="00054514" w:rsidP="00355B89">
      <w:pPr>
        <w:jc w:val="left"/>
        <w:rPr>
          <w:sz w:val="24"/>
          <w:szCs w:val="24"/>
        </w:rPr>
      </w:pPr>
    </w:p>
    <w:p w:rsidR="00E002DF" w:rsidRDefault="00E002DF" w:rsidP="00355B89">
      <w:pPr>
        <w:jc w:val="left"/>
        <w:rPr>
          <w:b/>
          <w:sz w:val="24"/>
          <w:szCs w:val="24"/>
        </w:rPr>
      </w:pPr>
    </w:p>
    <w:p w:rsidR="002366EB" w:rsidRDefault="002366EB" w:rsidP="00355B89">
      <w:pPr>
        <w:jc w:val="left"/>
        <w:rPr>
          <w:b/>
          <w:sz w:val="24"/>
          <w:szCs w:val="24"/>
        </w:rPr>
      </w:pPr>
    </w:p>
    <w:p w:rsidR="002366EB" w:rsidRDefault="002366EB" w:rsidP="00355B89">
      <w:pPr>
        <w:jc w:val="left"/>
        <w:rPr>
          <w:b/>
          <w:sz w:val="24"/>
          <w:szCs w:val="24"/>
        </w:rPr>
      </w:pPr>
    </w:p>
    <w:p w:rsidR="002366EB" w:rsidRDefault="002366EB" w:rsidP="00355B89">
      <w:pPr>
        <w:jc w:val="left"/>
        <w:rPr>
          <w:b/>
          <w:sz w:val="24"/>
          <w:szCs w:val="24"/>
        </w:rPr>
      </w:pPr>
    </w:p>
    <w:p w:rsidR="00054514" w:rsidRDefault="00054514" w:rsidP="00054514">
      <w:pPr>
        <w:ind w:left="851" w:hanging="851"/>
        <w:jc w:val="left"/>
        <w:rPr>
          <w:b/>
          <w:sz w:val="24"/>
          <w:szCs w:val="24"/>
        </w:rPr>
      </w:pPr>
      <w:r>
        <w:rPr>
          <w:b/>
          <w:sz w:val="24"/>
          <w:szCs w:val="24"/>
        </w:rPr>
        <w:t>3.4.</w:t>
      </w:r>
      <w:r w:rsidR="0027437C">
        <w:rPr>
          <w:b/>
          <w:sz w:val="24"/>
          <w:szCs w:val="24"/>
        </w:rPr>
        <w:t>9</w:t>
      </w:r>
      <w:r>
        <w:rPr>
          <w:b/>
          <w:sz w:val="24"/>
          <w:szCs w:val="24"/>
        </w:rPr>
        <w:tab/>
      </w:r>
      <w:r w:rsidRPr="00F419E1">
        <w:rPr>
          <w:b/>
          <w:sz w:val="24"/>
          <w:szCs w:val="24"/>
        </w:rPr>
        <w:t>Fe</w:t>
      </w:r>
      <w:r>
        <w:rPr>
          <w:b/>
          <w:sz w:val="24"/>
          <w:szCs w:val="24"/>
        </w:rPr>
        <w:t>es and Charges</w:t>
      </w:r>
    </w:p>
    <w:p w:rsidR="00054514" w:rsidRDefault="00054514" w:rsidP="00054514">
      <w:pPr>
        <w:ind w:hanging="720"/>
        <w:jc w:val="left"/>
        <w:rPr>
          <w:b/>
          <w:sz w:val="24"/>
          <w:szCs w:val="24"/>
        </w:rPr>
      </w:pPr>
    </w:p>
    <w:p w:rsidR="00054514" w:rsidRDefault="00054514" w:rsidP="00054514">
      <w:pPr>
        <w:spacing w:before="120"/>
        <w:ind w:left="851" w:hanging="862"/>
        <w:jc w:val="left"/>
        <w:rPr>
          <w:rFonts w:cs="Arial"/>
          <w:sz w:val="24"/>
          <w:szCs w:val="24"/>
        </w:rPr>
      </w:pPr>
      <w:r>
        <w:rPr>
          <w:rFonts w:cs="Arial"/>
          <w:sz w:val="24"/>
          <w:szCs w:val="24"/>
        </w:rPr>
        <w:t>3.4.</w:t>
      </w:r>
      <w:r w:rsidR="0027437C">
        <w:rPr>
          <w:rFonts w:cs="Arial"/>
          <w:sz w:val="24"/>
          <w:szCs w:val="24"/>
        </w:rPr>
        <w:t>9</w:t>
      </w:r>
      <w:r w:rsidR="0017654C">
        <w:rPr>
          <w:rFonts w:cs="Arial"/>
          <w:sz w:val="24"/>
          <w:szCs w:val="24"/>
        </w:rPr>
        <w:t>.1</w:t>
      </w:r>
      <w:r w:rsidR="0027437C">
        <w:rPr>
          <w:rFonts w:cs="Arial"/>
          <w:sz w:val="24"/>
          <w:szCs w:val="24"/>
        </w:rPr>
        <w:tab/>
      </w:r>
      <w:r>
        <w:rPr>
          <w:rFonts w:cs="Arial"/>
          <w:sz w:val="24"/>
          <w:szCs w:val="24"/>
        </w:rPr>
        <w:t>Mansfield District Council is responsible for setting some of the fees and charges for services that it charges residents and customers (some fees and charges are set by statute, whilst others are set by other bodies such as Nottinghamshire County Council).  Each year, individual services are responsible for determining the level of increase proposed; the options for adjusting fees and charges comprise:</w:t>
      </w:r>
    </w:p>
    <w:p w:rsidR="00054514" w:rsidRDefault="00054514" w:rsidP="00D53DE6">
      <w:pPr>
        <w:ind w:left="851" w:hanging="862"/>
        <w:jc w:val="left"/>
        <w:rPr>
          <w:rFonts w:cs="Arial"/>
          <w:sz w:val="24"/>
          <w:szCs w:val="24"/>
        </w:rPr>
      </w:pPr>
    </w:p>
    <w:p w:rsidR="00054514" w:rsidRDefault="00054514" w:rsidP="00C54396">
      <w:pPr>
        <w:numPr>
          <w:ilvl w:val="0"/>
          <w:numId w:val="3"/>
        </w:numPr>
        <w:tabs>
          <w:tab w:val="clear" w:pos="720"/>
        </w:tabs>
        <w:ind w:left="1134" w:hanging="283"/>
        <w:jc w:val="left"/>
        <w:rPr>
          <w:rFonts w:cs="Arial"/>
          <w:sz w:val="24"/>
          <w:szCs w:val="24"/>
        </w:rPr>
      </w:pPr>
      <w:r w:rsidRPr="00CC5757">
        <w:rPr>
          <w:rFonts w:cs="Arial"/>
          <w:sz w:val="24"/>
          <w:szCs w:val="24"/>
        </w:rPr>
        <w:t>Increa</w:t>
      </w:r>
      <w:r>
        <w:rPr>
          <w:rFonts w:cs="Arial"/>
          <w:sz w:val="24"/>
          <w:szCs w:val="24"/>
        </w:rPr>
        <w:t>se to cover a general inflationary increase</w:t>
      </w:r>
    </w:p>
    <w:p w:rsidR="00054514" w:rsidRPr="00CC5757" w:rsidRDefault="00054514" w:rsidP="00C54396">
      <w:pPr>
        <w:numPr>
          <w:ilvl w:val="0"/>
          <w:numId w:val="3"/>
        </w:numPr>
        <w:tabs>
          <w:tab w:val="clear" w:pos="720"/>
        </w:tabs>
        <w:ind w:left="1134" w:hanging="283"/>
        <w:jc w:val="left"/>
        <w:rPr>
          <w:rFonts w:cs="Arial"/>
          <w:sz w:val="24"/>
          <w:szCs w:val="24"/>
        </w:rPr>
      </w:pPr>
      <w:r w:rsidRPr="00CC5757">
        <w:rPr>
          <w:rFonts w:cs="Arial"/>
          <w:sz w:val="24"/>
          <w:szCs w:val="24"/>
        </w:rPr>
        <w:t xml:space="preserve">Increase to cover </w:t>
      </w:r>
      <w:r>
        <w:rPr>
          <w:rFonts w:cs="Arial"/>
          <w:sz w:val="24"/>
          <w:szCs w:val="24"/>
        </w:rPr>
        <w:t>a general inflationary increase - rounded</w:t>
      </w:r>
    </w:p>
    <w:p w:rsidR="00054514" w:rsidRDefault="00054514" w:rsidP="00C54396">
      <w:pPr>
        <w:numPr>
          <w:ilvl w:val="0"/>
          <w:numId w:val="3"/>
        </w:numPr>
        <w:tabs>
          <w:tab w:val="clear" w:pos="720"/>
        </w:tabs>
        <w:ind w:left="1134" w:hanging="283"/>
        <w:jc w:val="left"/>
        <w:rPr>
          <w:rFonts w:cs="Arial"/>
          <w:sz w:val="24"/>
          <w:szCs w:val="24"/>
        </w:rPr>
      </w:pPr>
      <w:r>
        <w:rPr>
          <w:rFonts w:cs="Arial"/>
          <w:sz w:val="24"/>
          <w:szCs w:val="24"/>
        </w:rPr>
        <w:t>Increase to cover a specific inflationary increase</w:t>
      </w:r>
    </w:p>
    <w:p w:rsidR="00054514" w:rsidRDefault="00054514" w:rsidP="00C54396">
      <w:pPr>
        <w:numPr>
          <w:ilvl w:val="0"/>
          <w:numId w:val="3"/>
        </w:numPr>
        <w:tabs>
          <w:tab w:val="clear" w:pos="720"/>
        </w:tabs>
        <w:ind w:left="1134" w:hanging="283"/>
        <w:jc w:val="left"/>
        <w:rPr>
          <w:rFonts w:cs="Arial"/>
          <w:sz w:val="24"/>
          <w:szCs w:val="24"/>
        </w:rPr>
      </w:pPr>
      <w:r>
        <w:rPr>
          <w:rFonts w:cs="Arial"/>
          <w:sz w:val="24"/>
          <w:szCs w:val="24"/>
        </w:rPr>
        <w:t>Increase or decrease to achieve the Council’s priorities</w:t>
      </w:r>
    </w:p>
    <w:p w:rsidR="00054514" w:rsidRDefault="00054514" w:rsidP="00C54396">
      <w:pPr>
        <w:numPr>
          <w:ilvl w:val="0"/>
          <w:numId w:val="3"/>
        </w:numPr>
        <w:tabs>
          <w:tab w:val="clear" w:pos="720"/>
        </w:tabs>
        <w:ind w:left="1134" w:hanging="283"/>
        <w:jc w:val="left"/>
        <w:rPr>
          <w:rFonts w:cs="Arial"/>
          <w:sz w:val="24"/>
          <w:szCs w:val="24"/>
        </w:rPr>
      </w:pPr>
      <w:r>
        <w:rPr>
          <w:rFonts w:cs="Arial"/>
          <w:sz w:val="24"/>
          <w:szCs w:val="24"/>
        </w:rPr>
        <w:t>Change to reflect market conditions</w:t>
      </w:r>
    </w:p>
    <w:p w:rsidR="00054514" w:rsidRDefault="00054514" w:rsidP="00C54396">
      <w:pPr>
        <w:numPr>
          <w:ilvl w:val="0"/>
          <w:numId w:val="3"/>
        </w:numPr>
        <w:tabs>
          <w:tab w:val="clear" w:pos="720"/>
        </w:tabs>
        <w:ind w:left="1134" w:hanging="283"/>
        <w:jc w:val="left"/>
        <w:rPr>
          <w:rFonts w:cs="Arial"/>
          <w:sz w:val="24"/>
          <w:szCs w:val="24"/>
        </w:rPr>
      </w:pPr>
      <w:r>
        <w:rPr>
          <w:rFonts w:cs="Arial"/>
          <w:sz w:val="24"/>
          <w:szCs w:val="24"/>
        </w:rPr>
        <w:t>Change to reflect actual cost of service</w:t>
      </w:r>
    </w:p>
    <w:p w:rsidR="00054514" w:rsidRDefault="00054514" w:rsidP="00C54396">
      <w:pPr>
        <w:numPr>
          <w:ilvl w:val="0"/>
          <w:numId w:val="3"/>
        </w:numPr>
        <w:tabs>
          <w:tab w:val="clear" w:pos="720"/>
        </w:tabs>
        <w:ind w:left="1134" w:hanging="283"/>
        <w:jc w:val="left"/>
        <w:rPr>
          <w:rFonts w:cs="Arial"/>
          <w:sz w:val="24"/>
          <w:szCs w:val="24"/>
        </w:rPr>
      </w:pPr>
      <w:r>
        <w:rPr>
          <w:rFonts w:cs="Arial"/>
          <w:sz w:val="24"/>
          <w:szCs w:val="24"/>
        </w:rPr>
        <w:t>Change to generate additional income</w:t>
      </w:r>
    </w:p>
    <w:p w:rsidR="00054514" w:rsidRDefault="00054514" w:rsidP="00054514">
      <w:pPr>
        <w:ind w:left="1134" w:hanging="283"/>
        <w:jc w:val="left"/>
        <w:rPr>
          <w:rFonts w:cs="Arial"/>
          <w:sz w:val="24"/>
          <w:szCs w:val="24"/>
        </w:rPr>
      </w:pPr>
    </w:p>
    <w:p w:rsidR="00054514" w:rsidRPr="00E33107" w:rsidRDefault="00054514" w:rsidP="00054514">
      <w:pPr>
        <w:ind w:left="851" w:hanging="862"/>
        <w:jc w:val="left"/>
        <w:rPr>
          <w:rFonts w:cs="Arial"/>
          <w:sz w:val="24"/>
          <w:szCs w:val="24"/>
        </w:rPr>
      </w:pPr>
      <w:r>
        <w:rPr>
          <w:rFonts w:cs="Arial"/>
          <w:sz w:val="24"/>
          <w:szCs w:val="24"/>
        </w:rPr>
        <w:t>3.4.</w:t>
      </w:r>
      <w:r w:rsidR="0027437C">
        <w:rPr>
          <w:rFonts w:cs="Arial"/>
          <w:sz w:val="24"/>
          <w:szCs w:val="24"/>
        </w:rPr>
        <w:t>9</w:t>
      </w:r>
      <w:r w:rsidR="0017654C">
        <w:rPr>
          <w:rFonts w:cs="Arial"/>
          <w:sz w:val="24"/>
          <w:szCs w:val="24"/>
        </w:rPr>
        <w:t xml:space="preserve">.2 </w:t>
      </w:r>
      <w:r w:rsidR="0027437C">
        <w:rPr>
          <w:rFonts w:cs="Arial"/>
          <w:sz w:val="24"/>
          <w:szCs w:val="24"/>
        </w:rPr>
        <w:tab/>
      </w:r>
      <w:r>
        <w:rPr>
          <w:rFonts w:cs="Arial"/>
          <w:sz w:val="24"/>
          <w:szCs w:val="24"/>
        </w:rPr>
        <w:t xml:space="preserve">Where changes are made to fees which are set by statute (that is, the </w:t>
      </w:r>
      <w:r w:rsidRPr="00E33107">
        <w:rPr>
          <w:rFonts w:cs="Arial"/>
          <w:sz w:val="24"/>
          <w:szCs w:val="24"/>
        </w:rPr>
        <w:t>Council has no control over), the proposed fees will be revised accordingly. As part of the revenue budget proposals a review of all fees and charges income was undertaken.</w:t>
      </w:r>
    </w:p>
    <w:p w:rsidR="00054514" w:rsidRPr="00E33107" w:rsidRDefault="00054514" w:rsidP="00054514">
      <w:pPr>
        <w:ind w:left="851" w:hanging="862"/>
        <w:jc w:val="left"/>
        <w:rPr>
          <w:rFonts w:cs="Arial"/>
          <w:sz w:val="24"/>
          <w:szCs w:val="24"/>
        </w:rPr>
      </w:pPr>
    </w:p>
    <w:p w:rsidR="00054514" w:rsidRPr="00E33107" w:rsidRDefault="00054514" w:rsidP="00951AE2">
      <w:pPr>
        <w:ind w:left="851" w:hanging="862"/>
        <w:jc w:val="left"/>
        <w:rPr>
          <w:rFonts w:cs="Arial"/>
          <w:sz w:val="24"/>
          <w:szCs w:val="24"/>
        </w:rPr>
      </w:pPr>
      <w:r w:rsidRPr="00E33107">
        <w:rPr>
          <w:rFonts w:cs="Arial"/>
          <w:sz w:val="24"/>
          <w:szCs w:val="24"/>
        </w:rPr>
        <w:t>3.4.</w:t>
      </w:r>
      <w:r w:rsidR="0027437C">
        <w:rPr>
          <w:rFonts w:cs="Arial"/>
          <w:sz w:val="24"/>
          <w:szCs w:val="24"/>
        </w:rPr>
        <w:t>9</w:t>
      </w:r>
      <w:r w:rsidR="0017654C">
        <w:rPr>
          <w:rFonts w:cs="Arial"/>
          <w:sz w:val="24"/>
          <w:szCs w:val="24"/>
        </w:rPr>
        <w:t xml:space="preserve">.3 </w:t>
      </w:r>
      <w:r w:rsidR="0027437C">
        <w:rPr>
          <w:rFonts w:cs="Arial"/>
          <w:sz w:val="24"/>
          <w:szCs w:val="24"/>
        </w:rPr>
        <w:tab/>
      </w:r>
      <w:r w:rsidR="00B42936">
        <w:rPr>
          <w:rFonts w:cs="Arial"/>
          <w:sz w:val="24"/>
          <w:szCs w:val="24"/>
        </w:rPr>
        <w:t>P</w:t>
      </w:r>
      <w:r w:rsidR="00E53785">
        <w:rPr>
          <w:rFonts w:cs="Arial"/>
          <w:sz w:val="24"/>
          <w:szCs w:val="24"/>
        </w:rPr>
        <w:t>roposed fees and charges</w:t>
      </w:r>
      <w:r w:rsidR="00B42936">
        <w:rPr>
          <w:rFonts w:cs="Arial"/>
          <w:sz w:val="24"/>
          <w:szCs w:val="24"/>
        </w:rPr>
        <w:t xml:space="preserve"> for the 2023/24 financial year have been reviewed by Overview &amp; Scrutiny Committee (Corporate Resources) at its meeting on 23</w:t>
      </w:r>
      <w:r w:rsidR="00B42936" w:rsidRPr="00B42936">
        <w:rPr>
          <w:rFonts w:cs="Arial"/>
          <w:sz w:val="24"/>
          <w:szCs w:val="24"/>
          <w:vertAlign w:val="superscript"/>
        </w:rPr>
        <w:t>rd</w:t>
      </w:r>
      <w:r w:rsidR="00B42936">
        <w:rPr>
          <w:rFonts w:cs="Arial"/>
          <w:sz w:val="24"/>
          <w:szCs w:val="24"/>
        </w:rPr>
        <w:t xml:space="preserve"> September 2022</w:t>
      </w:r>
      <w:r w:rsidR="00DE498A">
        <w:rPr>
          <w:rFonts w:cs="Arial"/>
          <w:sz w:val="24"/>
          <w:szCs w:val="24"/>
        </w:rPr>
        <w:t xml:space="preserve">. </w:t>
      </w:r>
      <w:r w:rsidRPr="00E33107">
        <w:rPr>
          <w:rFonts w:cs="Arial"/>
          <w:sz w:val="24"/>
          <w:szCs w:val="24"/>
        </w:rPr>
        <w:t>The fees and charges put forward have been used in calculating the proposed General Fund budgets, changes to this would result also in changes to those budgets.</w:t>
      </w:r>
    </w:p>
    <w:p w:rsidR="00054514" w:rsidRPr="00E33107" w:rsidRDefault="00054514" w:rsidP="00054514">
      <w:pPr>
        <w:ind w:left="851" w:hanging="862"/>
        <w:jc w:val="left"/>
        <w:rPr>
          <w:sz w:val="24"/>
          <w:szCs w:val="24"/>
        </w:rPr>
      </w:pPr>
    </w:p>
    <w:p w:rsidR="00054514" w:rsidRPr="00DA1C00" w:rsidRDefault="00054514" w:rsidP="00054514">
      <w:pPr>
        <w:ind w:left="851" w:hanging="862"/>
        <w:jc w:val="left"/>
        <w:rPr>
          <w:sz w:val="24"/>
          <w:szCs w:val="24"/>
        </w:rPr>
      </w:pPr>
      <w:r w:rsidRPr="00E33107">
        <w:rPr>
          <w:sz w:val="24"/>
          <w:szCs w:val="24"/>
        </w:rPr>
        <w:t>3.4.</w:t>
      </w:r>
      <w:r w:rsidR="0027437C">
        <w:rPr>
          <w:sz w:val="24"/>
          <w:szCs w:val="24"/>
        </w:rPr>
        <w:t>9</w:t>
      </w:r>
      <w:r w:rsidR="0017654C">
        <w:rPr>
          <w:sz w:val="24"/>
          <w:szCs w:val="24"/>
        </w:rPr>
        <w:t xml:space="preserve">.4 </w:t>
      </w:r>
      <w:r w:rsidR="0027437C">
        <w:rPr>
          <w:sz w:val="24"/>
          <w:szCs w:val="24"/>
        </w:rPr>
        <w:tab/>
      </w:r>
      <w:r w:rsidRPr="00E33107">
        <w:rPr>
          <w:sz w:val="24"/>
          <w:szCs w:val="24"/>
        </w:rPr>
        <w:t xml:space="preserve">The fees and charges are generally rounded to the nearest 10 pence, 50 </w:t>
      </w:r>
      <w:r w:rsidRPr="00DA1C00">
        <w:rPr>
          <w:sz w:val="24"/>
          <w:szCs w:val="24"/>
        </w:rPr>
        <w:t>pence or £1 for operational purposes. This is particularly relevant where machinery, such as car parks machines, is set to receive coinage and where small denominations of coins are required to provide change to customers.</w:t>
      </w:r>
    </w:p>
    <w:p w:rsidR="00967CFE" w:rsidRPr="00951AE2" w:rsidRDefault="00967CFE" w:rsidP="00443A5C">
      <w:pPr>
        <w:jc w:val="left"/>
        <w:rPr>
          <w:sz w:val="24"/>
          <w:szCs w:val="24"/>
          <w:highlight w:val="darkGray"/>
        </w:rPr>
      </w:pPr>
    </w:p>
    <w:p w:rsidR="00967CFE" w:rsidRPr="00896C6F" w:rsidRDefault="00967CFE" w:rsidP="00054514">
      <w:pPr>
        <w:ind w:left="851" w:hanging="862"/>
        <w:jc w:val="left"/>
        <w:rPr>
          <w:sz w:val="24"/>
          <w:szCs w:val="24"/>
        </w:rPr>
      </w:pPr>
      <w:r w:rsidRPr="00896C6F">
        <w:rPr>
          <w:sz w:val="24"/>
          <w:szCs w:val="24"/>
        </w:rPr>
        <w:t>3.4.</w:t>
      </w:r>
      <w:r w:rsidR="0027437C" w:rsidRPr="00896C6F">
        <w:rPr>
          <w:sz w:val="24"/>
          <w:szCs w:val="24"/>
        </w:rPr>
        <w:t>9</w:t>
      </w:r>
      <w:r w:rsidR="00443A5C">
        <w:rPr>
          <w:sz w:val="24"/>
          <w:szCs w:val="24"/>
        </w:rPr>
        <w:t>.5</w:t>
      </w:r>
      <w:r w:rsidR="0017654C" w:rsidRPr="00896C6F">
        <w:rPr>
          <w:sz w:val="24"/>
          <w:szCs w:val="24"/>
        </w:rPr>
        <w:t xml:space="preserve"> </w:t>
      </w:r>
      <w:r w:rsidR="0027437C" w:rsidRPr="00896C6F">
        <w:rPr>
          <w:sz w:val="24"/>
          <w:szCs w:val="24"/>
        </w:rPr>
        <w:tab/>
      </w:r>
      <w:r w:rsidRPr="00896C6F">
        <w:rPr>
          <w:sz w:val="24"/>
          <w:szCs w:val="24"/>
        </w:rPr>
        <w:t xml:space="preserve">The Taxi and </w:t>
      </w:r>
      <w:proofErr w:type="gramStart"/>
      <w:r w:rsidRPr="00896C6F">
        <w:rPr>
          <w:sz w:val="24"/>
          <w:szCs w:val="24"/>
        </w:rPr>
        <w:t>Licensing</w:t>
      </w:r>
      <w:proofErr w:type="gramEnd"/>
      <w:r w:rsidRPr="00896C6F">
        <w:rPr>
          <w:sz w:val="24"/>
          <w:szCs w:val="24"/>
        </w:rPr>
        <w:t xml:space="preserve"> fees </w:t>
      </w:r>
      <w:r w:rsidR="0097075D">
        <w:rPr>
          <w:sz w:val="24"/>
          <w:szCs w:val="24"/>
        </w:rPr>
        <w:t>for 2023/24</w:t>
      </w:r>
      <w:r w:rsidR="00DD2038" w:rsidRPr="00896C6F">
        <w:rPr>
          <w:sz w:val="24"/>
          <w:szCs w:val="24"/>
        </w:rPr>
        <w:t xml:space="preserve"> </w:t>
      </w:r>
      <w:r w:rsidRPr="00896C6F">
        <w:rPr>
          <w:sz w:val="24"/>
          <w:szCs w:val="24"/>
        </w:rPr>
        <w:t>were approved by the Licensing c</w:t>
      </w:r>
      <w:r w:rsidR="00896C6F" w:rsidRPr="00896C6F">
        <w:rPr>
          <w:sz w:val="24"/>
          <w:szCs w:val="24"/>
        </w:rPr>
        <w:t xml:space="preserve">ommittee on </w:t>
      </w:r>
      <w:r w:rsidR="00896C6F" w:rsidRPr="0041486D">
        <w:rPr>
          <w:sz w:val="24"/>
          <w:szCs w:val="24"/>
        </w:rPr>
        <w:t xml:space="preserve">the </w:t>
      </w:r>
      <w:r w:rsidR="0041486D" w:rsidRPr="0041486D">
        <w:rPr>
          <w:sz w:val="24"/>
          <w:szCs w:val="24"/>
        </w:rPr>
        <w:t>6</w:t>
      </w:r>
      <w:r w:rsidR="00896C6F" w:rsidRPr="0041486D">
        <w:rPr>
          <w:sz w:val="24"/>
          <w:szCs w:val="24"/>
        </w:rPr>
        <w:t>th October 202</w:t>
      </w:r>
      <w:r w:rsidR="0041486D" w:rsidRPr="0041486D">
        <w:rPr>
          <w:sz w:val="24"/>
          <w:szCs w:val="24"/>
        </w:rPr>
        <w:t>2</w:t>
      </w:r>
      <w:r w:rsidRPr="0041486D">
        <w:rPr>
          <w:sz w:val="24"/>
          <w:szCs w:val="24"/>
        </w:rPr>
        <w:t>.</w:t>
      </w:r>
    </w:p>
    <w:p w:rsidR="00054514" w:rsidRDefault="00054514" w:rsidP="00F33CFE">
      <w:pPr>
        <w:jc w:val="left"/>
        <w:rPr>
          <w:sz w:val="24"/>
          <w:szCs w:val="24"/>
        </w:rPr>
      </w:pPr>
    </w:p>
    <w:p w:rsidR="00054514" w:rsidRDefault="00054514" w:rsidP="00054514">
      <w:pPr>
        <w:ind w:left="851" w:hanging="862"/>
        <w:jc w:val="left"/>
        <w:rPr>
          <w:sz w:val="24"/>
          <w:szCs w:val="24"/>
        </w:rPr>
      </w:pPr>
    </w:p>
    <w:p w:rsidR="00054514" w:rsidRPr="00223FC8" w:rsidRDefault="00054514" w:rsidP="00054514">
      <w:pPr>
        <w:ind w:left="851" w:hanging="851"/>
        <w:jc w:val="left"/>
        <w:rPr>
          <w:b/>
          <w:sz w:val="24"/>
          <w:szCs w:val="24"/>
        </w:rPr>
      </w:pPr>
      <w:r>
        <w:rPr>
          <w:b/>
          <w:sz w:val="24"/>
          <w:szCs w:val="24"/>
        </w:rPr>
        <w:t>3.4.</w:t>
      </w:r>
      <w:r w:rsidR="00DF553C">
        <w:rPr>
          <w:b/>
          <w:sz w:val="24"/>
          <w:szCs w:val="24"/>
        </w:rPr>
        <w:t>1</w:t>
      </w:r>
      <w:r w:rsidR="0027437C">
        <w:rPr>
          <w:b/>
          <w:sz w:val="24"/>
          <w:szCs w:val="24"/>
        </w:rPr>
        <w:t>0</w:t>
      </w:r>
      <w:r w:rsidRPr="00223FC8">
        <w:rPr>
          <w:b/>
          <w:sz w:val="24"/>
          <w:szCs w:val="24"/>
        </w:rPr>
        <w:tab/>
        <w:t>Expenditure Budgets</w:t>
      </w:r>
    </w:p>
    <w:p w:rsidR="00054514" w:rsidRDefault="00054514" w:rsidP="00054514">
      <w:pPr>
        <w:ind w:left="630" w:hanging="720"/>
        <w:jc w:val="left"/>
        <w:rPr>
          <w:sz w:val="24"/>
          <w:szCs w:val="24"/>
        </w:rPr>
      </w:pPr>
    </w:p>
    <w:p w:rsidR="00054514" w:rsidRDefault="00054514" w:rsidP="00054514">
      <w:pPr>
        <w:ind w:left="851" w:hanging="851"/>
        <w:jc w:val="left"/>
        <w:rPr>
          <w:sz w:val="24"/>
          <w:szCs w:val="24"/>
        </w:rPr>
      </w:pPr>
      <w:r>
        <w:rPr>
          <w:sz w:val="24"/>
          <w:szCs w:val="24"/>
        </w:rPr>
        <w:t>3.4.</w:t>
      </w:r>
      <w:r w:rsidR="0027437C">
        <w:rPr>
          <w:sz w:val="24"/>
          <w:szCs w:val="24"/>
        </w:rPr>
        <w:t>10</w:t>
      </w:r>
      <w:r>
        <w:rPr>
          <w:sz w:val="24"/>
          <w:szCs w:val="24"/>
        </w:rPr>
        <w:t>.1</w:t>
      </w:r>
      <w:r w:rsidR="00DF553C">
        <w:rPr>
          <w:sz w:val="24"/>
          <w:szCs w:val="24"/>
        </w:rPr>
        <w:t xml:space="preserve"> </w:t>
      </w:r>
      <w:r>
        <w:rPr>
          <w:sz w:val="24"/>
          <w:szCs w:val="24"/>
        </w:rPr>
        <w:t xml:space="preserve">In developing the financial projections, covering the Medium Term Financial </w:t>
      </w:r>
      <w:r w:rsidR="00C07013">
        <w:rPr>
          <w:sz w:val="24"/>
          <w:szCs w:val="24"/>
        </w:rPr>
        <w:t>Plan</w:t>
      </w:r>
      <w:r>
        <w:rPr>
          <w:sz w:val="24"/>
          <w:szCs w:val="24"/>
        </w:rPr>
        <w:t xml:space="preserve"> from 202</w:t>
      </w:r>
      <w:r w:rsidR="0097075D">
        <w:rPr>
          <w:sz w:val="24"/>
          <w:szCs w:val="24"/>
        </w:rPr>
        <w:t>3</w:t>
      </w:r>
      <w:r>
        <w:rPr>
          <w:sz w:val="24"/>
          <w:szCs w:val="24"/>
        </w:rPr>
        <w:t>/2</w:t>
      </w:r>
      <w:r w:rsidR="0097075D">
        <w:rPr>
          <w:sz w:val="24"/>
          <w:szCs w:val="24"/>
        </w:rPr>
        <w:t>4</w:t>
      </w:r>
      <w:r>
        <w:rPr>
          <w:sz w:val="24"/>
          <w:szCs w:val="24"/>
        </w:rPr>
        <w:t xml:space="preserve"> to 202</w:t>
      </w:r>
      <w:r w:rsidR="0097075D">
        <w:rPr>
          <w:sz w:val="24"/>
          <w:szCs w:val="24"/>
        </w:rPr>
        <w:t>5/26</w:t>
      </w:r>
      <w:r>
        <w:rPr>
          <w:sz w:val="24"/>
          <w:szCs w:val="24"/>
        </w:rPr>
        <w:t>, a number of assumptions have been made, including:</w:t>
      </w:r>
    </w:p>
    <w:p w:rsidR="00054514" w:rsidRDefault="00054514" w:rsidP="00054514">
      <w:pPr>
        <w:ind w:left="851" w:hanging="851"/>
        <w:jc w:val="left"/>
        <w:rPr>
          <w:sz w:val="24"/>
          <w:szCs w:val="24"/>
        </w:rPr>
      </w:pPr>
    </w:p>
    <w:p w:rsidR="00C1647D" w:rsidRPr="00656AD3" w:rsidRDefault="00C1647D" w:rsidP="00C54396">
      <w:pPr>
        <w:pStyle w:val="ListParagraph"/>
        <w:numPr>
          <w:ilvl w:val="0"/>
          <w:numId w:val="2"/>
        </w:numPr>
        <w:spacing w:after="0"/>
        <w:ind w:left="1134" w:hanging="283"/>
        <w:rPr>
          <w:rFonts w:ascii="Arial" w:hAnsi="Arial" w:cs="Arial"/>
          <w:sz w:val="24"/>
          <w:szCs w:val="24"/>
        </w:rPr>
      </w:pPr>
      <w:r>
        <w:rPr>
          <w:rFonts w:ascii="Arial" w:hAnsi="Arial" w:cs="Arial"/>
          <w:sz w:val="24"/>
          <w:szCs w:val="24"/>
        </w:rPr>
        <w:t xml:space="preserve">Nationally, inflation is currently much higher than </w:t>
      </w:r>
      <w:r w:rsidRPr="00656AD3">
        <w:rPr>
          <w:rFonts w:ascii="Arial" w:hAnsi="Arial" w:cs="Arial"/>
          <w:sz w:val="24"/>
          <w:szCs w:val="24"/>
        </w:rPr>
        <w:t>the Bank of England’s target for CPI which currently stands at 2% per annum</w:t>
      </w:r>
      <w:r>
        <w:rPr>
          <w:rFonts w:ascii="Arial" w:hAnsi="Arial" w:cs="Arial"/>
          <w:sz w:val="24"/>
          <w:szCs w:val="24"/>
        </w:rPr>
        <w:t xml:space="preserve">. The budget has reflected this, by including specific inflationary rates for expenditure such as energy, fuel and water, based on market intelligence. </w:t>
      </w:r>
    </w:p>
    <w:p w:rsidR="00054514" w:rsidRPr="00896C6F" w:rsidRDefault="00054514" w:rsidP="00C54396">
      <w:pPr>
        <w:pStyle w:val="ListParagraph"/>
        <w:numPr>
          <w:ilvl w:val="0"/>
          <w:numId w:val="2"/>
        </w:numPr>
        <w:spacing w:after="0"/>
        <w:ind w:left="1134" w:hanging="283"/>
        <w:rPr>
          <w:rFonts w:ascii="Arial" w:hAnsi="Arial" w:cs="Arial"/>
          <w:sz w:val="24"/>
          <w:szCs w:val="24"/>
        </w:rPr>
      </w:pPr>
      <w:r w:rsidRPr="00896C6F">
        <w:rPr>
          <w:rFonts w:ascii="Arial" w:hAnsi="Arial" w:cs="Arial"/>
          <w:sz w:val="24"/>
          <w:szCs w:val="24"/>
        </w:rPr>
        <w:t xml:space="preserve">An annual </w:t>
      </w:r>
      <w:r w:rsidR="009F22E4" w:rsidRPr="00E3394A">
        <w:rPr>
          <w:rFonts w:ascii="Arial" w:hAnsi="Arial" w:cs="Arial"/>
          <w:sz w:val="24"/>
          <w:szCs w:val="24"/>
        </w:rPr>
        <w:t>pay rise of 4</w:t>
      </w:r>
      <w:r w:rsidRPr="00E3394A">
        <w:rPr>
          <w:rFonts w:ascii="Arial" w:hAnsi="Arial" w:cs="Arial"/>
          <w:sz w:val="24"/>
          <w:szCs w:val="24"/>
        </w:rPr>
        <w:t>%</w:t>
      </w:r>
      <w:r w:rsidRPr="00896C6F">
        <w:rPr>
          <w:rFonts w:ascii="Arial" w:hAnsi="Arial" w:cs="Arial"/>
          <w:sz w:val="24"/>
          <w:szCs w:val="24"/>
        </w:rPr>
        <w:t xml:space="preserve"> has been assume</w:t>
      </w:r>
      <w:r w:rsidR="00C872B0" w:rsidRPr="00896C6F">
        <w:rPr>
          <w:rFonts w:ascii="Arial" w:hAnsi="Arial" w:cs="Arial"/>
          <w:sz w:val="24"/>
          <w:szCs w:val="24"/>
        </w:rPr>
        <w:t>d</w:t>
      </w:r>
      <w:r w:rsidRPr="00896C6F">
        <w:rPr>
          <w:rFonts w:ascii="Arial" w:hAnsi="Arial" w:cs="Arial"/>
          <w:sz w:val="24"/>
          <w:szCs w:val="24"/>
        </w:rPr>
        <w:t xml:space="preserve"> but will be subject to approval by the Local Government Associations (LGA); </w:t>
      </w:r>
      <w:r w:rsidRPr="00C70245">
        <w:rPr>
          <w:rFonts w:ascii="Arial" w:hAnsi="Arial" w:cs="Arial"/>
          <w:sz w:val="24"/>
          <w:szCs w:val="24"/>
        </w:rPr>
        <w:t xml:space="preserve">this does not include Members Allowances, as </w:t>
      </w:r>
      <w:r w:rsidR="00C70245" w:rsidRPr="00C70245">
        <w:rPr>
          <w:rFonts w:ascii="Arial" w:hAnsi="Arial" w:cs="Arial"/>
          <w:sz w:val="24"/>
          <w:szCs w:val="24"/>
        </w:rPr>
        <w:t>this will be set by the Independent</w:t>
      </w:r>
      <w:r w:rsidR="00C70245">
        <w:rPr>
          <w:rFonts w:ascii="Arial" w:hAnsi="Arial" w:cs="Arial"/>
          <w:sz w:val="24"/>
          <w:szCs w:val="24"/>
        </w:rPr>
        <w:t xml:space="preserve"> Remuneration Panel in early 2023, for the following three financial years.</w:t>
      </w:r>
    </w:p>
    <w:p w:rsidR="00054514" w:rsidRPr="00A16911" w:rsidRDefault="00054514" w:rsidP="00C54396">
      <w:pPr>
        <w:pStyle w:val="ListParagraph"/>
        <w:numPr>
          <w:ilvl w:val="0"/>
          <w:numId w:val="2"/>
        </w:numPr>
        <w:spacing w:after="0"/>
        <w:ind w:left="1134" w:hanging="283"/>
        <w:rPr>
          <w:rFonts w:ascii="Arial" w:hAnsi="Arial" w:cs="Arial"/>
          <w:sz w:val="24"/>
          <w:szCs w:val="24"/>
        </w:rPr>
      </w:pPr>
      <w:r w:rsidRPr="00A16911">
        <w:rPr>
          <w:rFonts w:ascii="Arial" w:hAnsi="Arial" w:cs="Arial"/>
          <w:sz w:val="24"/>
          <w:szCs w:val="24"/>
        </w:rPr>
        <w:t>In 202</w:t>
      </w:r>
      <w:r w:rsidR="00951AE2">
        <w:rPr>
          <w:rFonts w:ascii="Arial" w:hAnsi="Arial" w:cs="Arial"/>
          <w:sz w:val="24"/>
          <w:szCs w:val="24"/>
        </w:rPr>
        <w:t>3</w:t>
      </w:r>
      <w:r w:rsidRPr="00A16911">
        <w:rPr>
          <w:rFonts w:ascii="Arial" w:hAnsi="Arial" w:cs="Arial"/>
          <w:sz w:val="24"/>
          <w:szCs w:val="24"/>
        </w:rPr>
        <w:t>/2</w:t>
      </w:r>
      <w:r w:rsidR="00DE498A" w:rsidRPr="00A16911">
        <w:rPr>
          <w:rFonts w:ascii="Arial" w:hAnsi="Arial" w:cs="Arial"/>
          <w:sz w:val="24"/>
          <w:szCs w:val="24"/>
        </w:rPr>
        <w:t>4</w:t>
      </w:r>
      <w:r w:rsidRPr="00A16911">
        <w:rPr>
          <w:rFonts w:ascii="Arial" w:hAnsi="Arial" w:cs="Arial"/>
          <w:sz w:val="24"/>
          <w:szCs w:val="24"/>
        </w:rPr>
        <w:t xml:space="preserve"> the Nottinghamshire Pension Scheme will have an </w:t>
      </w:r>
      <w:r w:rsidR="005365B9" w:rsidRPr="00A16911">
        <w:rPr>
          <w:rFonts w:ascii="Arial" w:hAnsi="Arial" w:cs="Arial"/>
          <w:sz w:val="24"/>
          <w:szCs w:val="24"/>
        </w:rPr>
        <w:t xml:space="preserve">Actuarial </w:t>
      </w:r>
      <w:r w:rsidR="00DE498A" w:rsidRPr="00A16911">
        <w:rPr>
          <w:rFonts w:ascii="Arial" w:hAnsi="Arial" w:cs="Arial"/>
          <w:sz w:val="24"/>
          <w:szCs w:val="24"/>
        </w:rPr>
        <w:t xml:space="preserve">triennial valuation. </w:t>
      </w:r>
      <w:r w:rsidR="00081E6B">
        <w:rPr>
          <w:rFonts w:ascii="Arial" w:hAnsi="Arial" w:cs="Arial"/>
          <w:sz w:val="24"/>
          <w:szCs w:val="24"/>
        </w:rPr>
        <w:t xml:space="preserve">This valuation has meant that the </w:t>
      </w:r>
      <w:r w:rsidRPr="00A16911">
        <w:rPr>
          <w:rFonts w:ascii="Arial" w:hAnsi="Arial" w:cs="Arial"/>
          <w:sz w:val="24"/>
          <w:szCs w:val="24"/>
        </w:rPr>
        <w:t xml:space="preserve">employer’s contribution </w:t>
      </w:r>
      <w:r w:rsidR="00081E6B">
        <w:rPr>
          <w:rFonts w:ascii="Arial" w:hAnsi="Arial" w:cs="Arial"/>
          <w:sz w:val="24"/>
          <w:szCs w:val="24"/>
        </w:rPr>
        <w:t xml:space="preserve">rate has increased from </w:t>
      </w:r>
      <w:r w:rsidR="00DE498A" w:rsidRPr="00A16911">
        <w:rPr>
          <w:rFonts w:ascii="Arial" w:hAnsi="Arial" w:cs="Arial"/>
          <w:sz w:val="24"/>
          <w:szCs w:val="24"/>
        </w:rPr>
        <w:t>19</w:t>
      </w:r>
      <w:r w:rsidRPr="00A16911">
        <w:rPr>
          <w:rFonts w:ascii="Arial" w:hAnsi="Arial" w:cs="Arial"/>
          <w:sz w:val="24"/>
          <w:szCs w:val="24"/>
        </w:rPr>
        <w:t>.</w:t>
      </w:r>
      <w:r w:rsidR="00DE498A" w:rsidRPr="00A16911">
        <w:rPr>
          <w:rFonts w:ascii="Arial" w:hAnsi="Arial" w:cs="Arial"/>
          <w:sz w:val="24"/>
          <w:szCs w:val="24"/>
        </w:rPr>
        <w:t>5</w:t>
      </w:r>
      <w:r w:rsidRPr="00A16911">
        <w:rPr>
          <w:rFonts w:ascii="Arial" w:hAnsi="Arial" w:cs="Arial"/>
          <w:sz w:val="24"/>
          <w:szCs w:val="24"/>
        </w:rPr>
        <w:t>%</w:t>
      </w:r>
      <w:r w:rsidR="00081E6B">
        <w:rPr>
          <w:rFonts w:ascii="Arial" w:hAnsi="Arial" w:cs="Arial"/>
          <w:sz w:val="24"/>
          <w:szCs w:val="24"/>
        </w:rPr>
        <w:t xml:space="preserve"> to 20.2%.</w:t>
      </w:r>
      <w:r w:rsidR="003E6D22">
        <w:rPr>
          <w:rFonts w:ascii="Arial" w:hAnsi="Arial" w:cs="Arial"/>
          <w:sz w:val="24"/>
          <w:szCs w:val="24"/>
        </w:rPr>
        <w:t xml:space="preserve"> </w:t>
      </w:r>
      <w:r w:rsidR="00081E6B">
        <w:rPr>
          <w:rFonts w:ascii="Arial" w:hAnsi="Arial" w:cs="Arial"/>
          <w:sz w:val="24"/>
          <w:szCs w:val="24"/>
        </w:rPr>
        <w:t>H</w:t>
      </w:r>
      <w:r w:rsidR="00E10FF1">
        <w:rPr>
          <w:rFonts w:ascii="Arial" w:hAnsi="Arial" w:cs="Arial"/>
          <w:sz w:val="24"/>
          <w:szCs w:val="24"/>
        </w:rPr>
        <w:t xml:space="preserve">owever, </w:t>
      </w:r>
      <w:r w:rsidR="00081E6B">
        <w:rPr>
          <w:rFonts w:ascii="Arial" w:hAnsi="Arial" w:cs="Arial"/>
          <w:sz w:val="24"/>
          <w:szCs w:val="24"/>
        </w:rPr>
        <w:t>there has also been a small decrease in the lump sum payments the council makes, meaning that the revaluation has only resulted in a small increase</w:t>
      </w:r>
      <w:r w:rsidR="003E6D22">
        <w:rPr>
          <w:rFonts w:ascii="Arial" w:hAnsi="Arial" w:cs="Arial"/>
          <w:sz w:val="24"/>
          <w:szCs w:val="24"/>
        </w:rPr>
        <w:t xml:space="preserve"> in expenditure</w:t>
      </w:r>
      <w:r w:rsidR="00081E6B">
        <w:rPr>
          <w:rFonts w:ascii="Arial" w:hAnsi="Arial" w:cs="Arial"/>
          <w:sz w:val="24"/>
          <w:szCs w:val="24"/>
        </w:rPr>
        <w:t xml:space="preserve"> overall.</w:t>
      </w:r>
      <w:r w:rsidR="00E10FF1">
        <w:rPr>
          <w:rFonts w:ascii="Arial" w:hAnsi="Arial" w:cs="Arial"/>
          <w:sz w:val="24"/>
          <w:szCs w:val="24"/>
        </w:rPr>
        <w:t xml:space="preserve"> </w:t>
      </w:r>
    </w:p>
    <w:p w:rsidR="00054514" w:rsidRDefault="00054514" w:rsidP="00054514">
      <w:pPr>
        <w:jc w:val="left"/>
        <w:rPr>
          <w:b/>
          <w:sz w:val="24"/>
          <w:szCs w:val="24"/>
        </w:rPr>
      </w:pPr>
    </w:p>
    <w:p w:rsidR="00C1647D" w:rsidRDefault="00C1647D" w:rsidP="00860DFA">
      <w:pPr>
        <w:jc w:val="left"/>
        <w:outlineLvl w:val="0"/>
        <w:rPr>
          <w:b/>
          <w:sz w:val="24"/>
          <w:szCs w:val="24"/>
        </w:rPr>
      </w:pPr>
    </w:p>
    <w:p w:rsidR="00E55E6B" w:rsidRPr="00656AD3" w:rsidRDefault="00D832E4" w:rsidP="0073669D">
      <w:pPr>
        <w:ind w:left="851" w:hanging="851"/>
        <w:jc w:val="left"/>
        <w:outlineLvl w:val="0"/>
        <w:rPr>
          <w:b/>
          <w:sz w:val="24"/>
          <w:szCs w:val="24"/>
        </w:rPr>
      </w:pPr>
      <w:r w:rsidRPr="00656AD3">
        <w:rPr>
          <w:b/>
          <w:sz w:val="24"/>
          <w:szCs w:val="24"/>
        </w:rPr>
        <w:t>3.</w:t>
      </w:r>
      <w:r w:rsidR="0027437C">
        <w:rPr>
          <w:b/>
          <w:sz w:val="24"/>
          <w:szCs w:val="24"/>
        </w:rPr>
        <w:t>4.11</w:t>
      </w:r>
      <w:r w:rsidR="00796212" w:rsidRPr="00656AD3">
        <w:rPr>
          <w:b/>
          <w:sz w:val="24"/>
          <w:szCs w:val="24"/>
        </w:rPr>
        <w:tab/>
      </w:r>
      <w:r w:rsidR="007371D0">
        <w:rPr>
          <w:b/>
          <w:sz w:val="24"/>
          <w:szCs w:val="24"/>
        </w:rPr>
        <w:t>Review of General Fund</w:t>
      </w:r>
      <w:r w:rsidR="003563A1" w:rsidRPr="00656AD3">
        <w:rPr>
          <w:b/>
          <w:sz w:val="24"/>
          <w:szCs w:val="24"/>
        </w:rPr>
        <w:t xml:space="preserve"> </w:t>
      </w:r>
      <w:r w:rsidR="00E55E6B" w:rsidRPr="00656AD3">
        <w:rPr>
          <w:b/>
          <w:sz w:val="24"/>
          <w:szCs w:val="24"/>
        </w:rPr>
        <w:t>Balances</w:t>
      </w:r>
    </w:p>
    <w:p w:rsidR="00FF205F" w:rsidRPr="00656AD3" w:rsidRDefault="00FF205F" w:rsidP="0073669D">
      <w:pPr>
        <w:ind w:left="851" w:hanging="851"/>
        <w:jc w:val="left"/>
        <w:outlineLvl w:val="0"/>
        <w:rPr>
          <w:b/>
          <w:sz w:val="24"/>
          <w:szCs w:val="24"/>
        </w:rPr>
      </w:pPr>
    </w:p>
    <w:p w:rsidR="00E55E6B" w:rsidRPr="0077109D" w:rsidRDefault="00D832E4" w:rsidP="0073669D">
      <w:pPr>
        <w:ind w:left="851" w:hanging="851"/>
        <w:jc w:val="left"/>
        <w:rPr>
          <w:sz w:val="24"/>
          <w:szCs w:val="24"/>
        </w:rPr>
      </w:pPr>
      <w:r w:rsidRPr="0077109D">
        <w:rPr>
          <w:sz w:val="24"/>
          <w:szCs w:val="24"/>
        </w:rPr>
        <w:t>3.</w:t>
      </w:r>
      <w:r w:rsidR="0027437C">
        <w:rPr>
          <w:sz w:val="24"/>
          <w:szCs w:val="24"/>
        </w:rPr>
        <w:t>4.11</w:t>
      </w:r>
      <w:r w:rsidR="00B71CA0" w:rsidRPr="0077109D">
        <w:rPr>
          <w:sz w:val="24"/>
          <w:szCs w:val="24"/>
        </w:rPr>
        <w:t xml:space="preserve">.1 </w:t>
      </w:r>
      <w:r w:rsidR="00E55E6B" w:rsidRPr="0077109D">
        <w:rPr>
          <w:sz w:val="24"/>
          <w:szCs w:val="24"/>
        </w:rPr>
        <w:t xml:space="preserve">At the end of the </w:t>
      </w:r>
      <w:r w:rsidR="002C529C">
        <w:rPr>
          <w:sz w:val="24"/>
          <w:szCs w:val="24"/>
        </w:rPr>
        <w:t>202</w:t>
      </w:r>
      <w:r w:rsidR="0097075D">
        <w:rPr>
          <w:sz w:val="24"/>
          <w:szCs w:val="24"/>
        </w:rPr>
        <w:t>1/22</w:t>
      </w:r>
      <w:r w:rsidR="007A305D" w:rsidRPr="0077109D">
        <w:rPr>
          <w:sz w:val="24"/>
          <w:szCs w:val="24"/>
        </w:rPr>
        <w:t xml:space="preserve"> </w:t>
      </w:r>
      <w:r w:rsidR="00E55E6B" w:rsidRPr="0077109D">
        <w:rPr>
          <w:sz w:val="24"/>
          <w:szCs w:val="24"/>
        </w:rPr>
        <w:t xml:space="preserve">financial year, General Fund balances stood at </w:t>
      </w:r>
      <w:r w:rsidR="00E55E6B" w:rsidRPr="00BA42A4">
        <w:rPr>
          <w:sz w:val="24"/>
          <w:szCs w:val="24"/>
        </w:rPr>
        <w:t>£</w:t>
      </w:r>
      <w:r w:rsidR="00D638AD" w:rsidRPr="00BA42A4">
        <w:rPr>
          <w:sz w:val="24"/>
          <w:szCs w:val="24"/>
        </w:rPr>
        <w:t>2.</w:t>
      </w:r>
      <w:r w:rsidR="00DE498A" w:rsidRPr="00BA42A4">
        <w:rPr>
          <w:sz w:val="24"/>
          <w:szCs w:val="24"/>
        </w:rPr>
        <w:t>347</w:t>
      </w:r>
      <w:r w:rsidR="00926AD2" w:rsidRPr="00BA42A4">
        <w:rPr>
          <w:sz w:val="24"/>
          <w:szCs w:val="24"/>
        </w:rPr>
        <w:t>million</w:t>
      </w:r>
      <w:r w:rsidR="00D638AD" w:rsidRPr="00BA42A4">
        <w:rPr>
          <w:sz w:val="24"/>
          <w:szCs w:val="24"/>
        </w:rPr>
        <w:t>.</w:t>
      </w:r>
      <w:r w:rsidR="000A4590" w:rsidRPr="0077109D">
        <w:rPr>
          <w:sz w:val="24"/>
          <w:szCs w:val="24"/>
        </w:rPr>
        <w:t xml:space="preserve">  </w:t>
      </w:r>
    </w:p>
    <w:p w:rsidR="00E55E6B" w:rsidRPr="0077109D" w:rsidRDefault="00E55E6B" w:rsidP="0073669D">
      <w:pPr>
        <w:tabs>
          <w:tab w:val="left" w:pos="1440"/>
          <w:tab w:val="left" w:pos="6660"/>
        </w:tabs>
        <w:ind w:left="851" w:hanging="851"/>
        <w:rPr>
          <w:rFonts w:cs="Arial"/>
          <w:sz w:val="24"/>
          <w:szCs w:val="24"/>
        </w:rPr>
      </w:pPr>
    </w:p>
    <w:p w:rsidR="00E55E6B" w:rsidRPr="0077109D" w:rsidRDefault="00502549" w:rsidP="0073669D">
      <w:pPr>
        <w:ind w:left="851" w:hanging="851"/>
        <w:jc w:val="left"/>
        <w:rPr>
          <w:sz w:val="24"/>
          <w:szCs w:val="24"/>
        </w:rPr>
      </w:pPr>
      <w:r w:rsidRPr="0077109D">
        <w:rPr>
          <w:sz w:val="24"/>
          <w:szCs w:val="24"/>
        </w:rPr>
        <w:t>3.</w:t>
      </w:r>
      <w:r w:rsidR="0027437C">
        <w:rPr>
          <w:sz w:val="24"/>
          <w:szCs w:val="24"/>
        </w:rPr>
        <w:t>4.11</w:t>
      </w:r>
      <w:r w:rsidR="00B71CA0" w:rsidRPr="0077109D">
        <w:rPr>
          <w:sz w:val="24"/>
          <w:szCs w:val="24"/>
        </w:rPr>
        <w:t xml:space="preserve">.2 </w:t>
      </w:r>
      <w:r w:rsidR="00E55E6B" w:rsidRPr="0077109D">
        <w:rPr>
          <w:sz w:val="24"/>
          <w:szCs w:val="24"/>
        </w:rPr>
        <w:t>As part of the budget setting process, a risk assessment was carried out on the minimum level of General Fund Balances held by the Council.  A copy of which can be found in Appendix</w:t>
      </w:r>
      <w:r w:rsidR="00605755" w:rsidRPr="0077109D">
        <w:rPr>
          <w:sz w:val="24"/>
          <w:szCs w:val="24"/>
        </w:rPr>
        <w:t xml:space="preserve"> </w:t>
      </w:r>
      <w:r w:rsidR="004E3526">
        <w:rPr>
          <w:sz w:val="24"/>
          <w:szCs w:val="24"/>
        </w:rPr>
        <w:t>6</w:t>
      </w:r>
      <w:r w:rsidR="004E3A16" w:rsidRPr="0077109D">
        <w:rPr>
          <w:sz w:val="24"/>
          <w:szCs w:val="24"/>
        </w:rPr>
        <w:t>.</w:t>
      </w:r>
      <w:r w:rsidR="00E55E6B" w:rsidRPr="0077109D">
        <w:rPr>
          <w:sz w:val="24"/>
          <w:szCs w:val="24"/>
        </w:rPr>
        <w:t xml:space="preserve">  Based on this risk assessment, the minimum recommended level held in General Fund Balances </w:t>
      </w:r>
      <w:r w:rsidR="00952335" w:rsidRPr="0077109D">
        <w:rPr>
          <w:sz w:val="24"/>
          <w:szCs w:val="24"/>
        </w:rPr>
        <w:t xml:space="preserve">is </w:t>
      </w:r>
      <w:r w:rsidR="00000044" w:rsidRPr="0077109D">
        <w:rPr>
          <w:sz w:val="24"/>
          <w:szCs w:val="24"/>
        </w:rPr>
        <w:t>£</w:t>
      </w:r>
      <w:r w:rsidR="00EE127D" w:rsidRPr="0077109D">
        <w:rPr>
          <w:sz w:val="24"/>
          <w:szCs w:val="24"/>
        </w:rPr>
        <w:t>2.1</w:t>
      </w:r>
      <w:r w:rsidR="00B050CE" w:rsidRPr="0077109D">
        <w:rPr>
          <w:sz w:val="24"/>
          <w:szCs w:val="24"/>
        </w:rPr>
        <w:t>million</w:t>
      </w:r>
      <w:r w:rsidR="00EE127D" w:rsidRPr="0077109D">
        <w:rPr>
          <w:sz w:val="24"/>
          <w:szCs w:val="24"/>
        </w:rPr>
        <w:t>.</w:t>
      </w:r>
    </w:p>
    <w:p w:rsidR="000A4590" w:rsidRPr="0077109D" w:rsidRDefault="000A4590" w:rsidP="0073669D">
      <w:pPr>
        <w:ind w:left="851" w:hanging="851"/>
        <w:jc w:val="left"/>
        <w:rPr>
          <w:sz w:val="24"/>
          <w:szCs w:val="24"/>
        </w:rPr>
      </w:pPr>
    </w:p>
    <w:p w:rsidR="000A4590" w:rsidRPr="00656AD3" w:rsidRDefault="0027437C" w:rsidP="0073669D">
      <w:pPr>
        <w:ind w:left="851" w:hanging="851"/>
        <w:jc w:val="left"/>
        <w:rPr>
          <w:sz w:val="24"/>
          <w:szCs w:val="24"/>
        </w:rPr>
      </w:pPr>
      <w:r>
        <w:rPr>
          <w:sz w:val="24"/>
          <w:szCs w:val="24"/>
        </w:rPr>
        <w:t>3.4.11</w:t>
      </w:r>
      <w:r w:rsidR="00E33107" w:rsidRPr="0077109D">
        <w:rPr>
          <w:sz w:val="24"/>
          <w:szCs w:val="24"/>
        </w:rPr>
        <w:t>.3 Should the General</w:t>
      </w:r>
      <w:r w:rsidR="007B73F4">
        <w:rPr>
          <w:sz w:val="24"/>
          <w:szCs w:val="24"/>
        </w:rPr>
        <w:t xml:space="preserve"> Fund make a deficit on its 202</w:t>
      </w:r>
      <w:r w:rsidR="0097075D">
        <w:rPr>
          <w:sz w:val="24"/>
          <w:szCs w:val="24"/>
        </w:rPr>
        <w:t>2</w:t>
      </w:r>
      <w:r w:rsidR="00E33107" w:rsidRPr="0077109D">
        <w:rPr>
          <w:sz w:val="24"/>
          <w:szCs w:val="24"/>
        </w:rPr>
        <w:t>/2</w:t>
      </w:r>
      <w:r w:rsidR="0097075D">
        <w:rPr>
          <w:sz w:val="24"/>
          <w:szCs w:val="24"/>
        </w:rPr>
        <w:t>3</w:t>
      </w:r>
      <w:r w:rsidR="00E33107" w:rsidRPr="0077109D">
        <w:rPr>
          <w:sz w:val="24"/>
          <w:szCs w:val="24"/>
        </w:rPr>
        <w:t xml:space="preserve"> budget outturn position, this will further reduce </w:t>
      </w:r>
      <w:r w:rsidR="00CD6114">
        <w:rPr>
          <w:sz w:val="24"/>
          <w:szCs w:val="24"/>
        </w:rPr>
        <w:t xml:space="preserve">the General Fund </w:t>
      </w:r>
      <w:proofErr w:type="gramStart"/>
      <w:r w:rsidR="00CD6114">
        <w:rPr>
          <w:sz w:val="24"/>
          <w:szCs w:val="24"/>
        </w:rPr>
        <w:t>Balance</w:t>
      </w:r>
      <w:r w:rsidR="00E33107" w:rsidRPr="0077109D">
        <w:rPr>
          <w:sz w:val="24"/>
          <w:szCs w:val="24"/>
        </w:rPr>
        <w:t>.</w:t>
      </w:r>
      <w:proofErr w:type="gramEnd"/>
    </w:p>
    <w:p w:rsidR="00E55E6B" w:rsidRPr="00656AD3" w:rsidRDefault="00E55E6B" w:rsidP="0073669D">
      <w:pPr>
        <w:ind w:left="851" w:hanging="851"/>
        <w:jc w:val="left"/>
        <w:rPr>
          <w:rFonts w:cs="Arial"/>
          <w:sz w:val="24"/>
          <w:szCs w:val="24"/>
        </w:rPr>
      </w:pPr>
    </w:p>
    <w:p w:rsidR="00000217" w:rsidRPr="00656AD3" w:rsidRDefault="00000217">
      <w:pPr>
        <w:jc w:val="left"/>
        <w:rPr>
          <w:b/>
          <w:sz w:val="24"/>
          <w:szCs w:val="24"/>
        </w:rPr>
      </w:pPr>
    </w:p>
    <w:p w:rsidR="00E55E6B" w:rsidRPr="00656AD3" w:rsidRDefault="003E5A65" w:rsidP="0073669D">
      <w:pPr>
        <w:ind w:left="851" w:hanging="851"/>
        <w:outlineLvl w:val="0"/>
        <w:rPr>
          <w:b/>
          <w:sz w:val="24"/>
          <w:szCs w:val="24"/>
        </w:rPr>
      </w:pPr>
      <w:r w:rsidRPr="00656AD3">
        <w:rPr>
          <w:b/>
          <w:sz w:val="24"/>
          <w:szCs w:val="24"/>
        </w:rPr>
        <w:t>3.</w:t>
      </w:r>
      <w:r w:rsidR="00B71CA0">
        <w:rPr>
          <w:b/>
          <w:sz w:val="24"/>
          <w:szCs w:val="24"/>
        </w:rPr>
        <w:t>4.</w:t>
      </w:r>
      <w:r w:rsidR="00B71CA0" w:rsidRPr="00656AD3">
        <w:rPr>
          <w:b/>
          <w:sz w:val="24"/>
          <w:szCs w:val="24"/>
        </w:rPr>
        <w:t>1</w:t>
      </w:r>
      <w:r w:rsidR="0027437C">
        <w:rPr>
          <w:b/>
          <w:sz w:val="24"/>
          <w:szCs w:val="24"/>
        </w:rPr>
        <w:t>2</w:t>
      </w:r>
      <w:r w:rsidR="00E55E6B" w:rsidRPr="00656AD3">
        <w:rPr>
          <w:b/>
          <w:sz w:val="24"/>
          <w:szCs w:val="24"/>
        </w:rPr>
        <w:tab/>
        <w:t>Review of Earmarked Reserves</w:t>
      </w:r>
    </w:p>
    <w:p w:rsidR="00E55E6B" w:rsidRPr="00656AD3" w:rsidRDefault="00E55E6B" w:rsidP="0073669D">
      <w:pPr>
        <w:ind w:left="851" w:hanging="851"/>
        <w:rPr>
          <w:sz w:val="24"/>
          <w:szCs w:val="24"/>
        </w:rPr>
      </w:pPr>
    </w:p>
    <w:p w:rsidR="00EE127D" w:rsidRDefault="003E5A65" w:rsidP="00F24AAD">
      <w:pPr>
        <w:tabs>
          <w:tab w:val="left" w:pos="1440"/>
          <w:tab w:val="left" w:pos="6660"/>
        </w:tabs>
        <w:ind w:left="851" w:hanging="851"/>
        <w:jc w:val="left"/>
        <w:rPr>
          <w:rFonts w:cs="Arial"/>
          <w:sz w:val="24"/>
          <w:szCs w:val="24"/>
        </w:rPr>
      </w:pPr>
      <w:r w:rsidRPr="00656AD3">
        <w:rPr>
          <w:rFonts w:cs="Arial"/>
          <w:sz w:val="24"/>
          <w:szCs w:val="24"/>
        </w:rPr>
        <w:t>3.</w:t>
      </w:r>
      <w:r w:rsidR="0027437C">
        <w:rPr>
          <w:rFonts w:cs="Arial"/>
          <w:sz w:val="24"/>
          <w:szCs w:val="24"/>
        </w:rPr>
        <w:t>4.12</w:t>
      </w:r>
      <w:r w:rsidR="00B71CA0">
        <w:rPr>
          <w:rFonts w:cs="Arial"/>
          <w:sz w:val="24"/>
          <w:szCs w:val="24"/>
        </w:rPr>
        <w:t xml:space="preserve">.1 </w:t>
      </w:r>
      <w:r w:rsidR="00E55E6B" w:rsidRPr="00656AD3">
        <w:rPr>
          <w:rFonts w:cs="Arial"/>
          <w:sz w:val="24"/>
          <w:szCs w:val="24"/>
        </w:rPr>
        <w:t xml:space="preserve">As part of the budget setting process, </w:t>
      </w:r>
      <w:r w:rsidR="00BA7257" w:rsidRPr="00656AD3">
        <w:rPr>
          <w:rFonts w:cs="Arial"/>
          <w:sz w:val="24"/>
          <w:szCs w:val="24"/>
        </w:rPr>
        <w:t>E</w:t>
      </w:r>
      <w:r w:rsidR="00CD33AC" w:rsidRPr="00656AD3">
        <w:rPr>
          <w:rFonts w:cs="Arial"/>
          <w:sz w:val="24"/>
          <w:szCs w:val="24"/>
        </w:rPr>
        <w:t xml:space="preserve">armarked </w:t>
      </w:r>
      <w:r w:rsidR="00BA7257" w:rsidRPr="00656AD3">
        <w:rPr>
          <w:rFonts w:cs="Arial"/>
          <w:sz w:val="24"/>
          <w:szCs w:val="24"/>
        </w:rPr>
        <w:t>Reserves</w:t>
      </w:r>
      <w:r w:rsidR="00CD33AC" w:rsidRPr="00656AD3">
        <w:rPr>
          <w:rFonts w:cs="Arial"/>
          <w:sz w:val="24"/>
          <w:szCs w:val="24"/>
        </w:rPr>
        <w:t>,</w:t>
      </w:r>
      <w:r w:rsidR="00E55E6B" w:rsidRPr="00656AD3">
        <w:rPr>
          <w:rFonts w:cs="Arial"/>
          <w:sz w:val="24"/>
          <w:szCs w:val="24"/>
        </w:rPr>
        <w:t xml:space="preserve"> and the level of resources held in each are reviewed to determine whether they are still required.  If any reserve is no longer deemed as being necessary, then resources are released back to either the revenue account or the capital programme.</w:t>
      </w:r>
      <w:r w:rsidR="00D368D9" w:rsidRPr="00656AD3">
        <w:rPr>
          <w:rFonts w:cs="Arial"/>
          <w:sz w:val="24"/>
          <w:szCs w:val="24"/>
        </w:rPr>
        <w:t xml:space="preserve">  </w:t>
      </w:r>
    </w:p>
    <w:p w:rsidR="00F24AAD" w:rsidRPr="00656AD3" w:rsidRDefault="00F24AAD" w:rsidP="00F24AAD">
      <w:pPr>
        <w:tabs>
          <w:tab w:val="left" w:pos="1440"/>
          <w:tab w:val="left" w:pos="6660"/>
        </w:tabs>
        <w:ind w:left="851" w:hanging="851"/>
        <w:jc w:val="left"/>
        <w:rPr>
          <w:rFonts w:cs="Arial"/>
          <w:sz w:val="24"/>
          <w:szCs w:val="24"/>
        </w:rPr>
      </w:pPr>
    </w:p>
    <w:p w:rsidR="00E33107" w:rsidRDefault="00E33107" w:rsidP="00D53DE6">
      <w:pPr>
        <w:jc w:val="left"/>
        <w:rPr>
          <w:b/>
          <w:sz w:val="24"/>
          <w:szCs w:val="24"/>
        </w:rPr>
      </w:pPr>
    </w:p>
    <w:p w:rsidR="00BA6539" w:rsidRPr="00656AD3" w:rsidRDefault="003D546F" w:rsidP="00D53DE6">
      <w:pPr>
        <w:jc w:val="left"/>
        <w:rPr>
          <w:b/>
          <w:sz w:val="24"/>
          <w:szCs w:val="24"/>
        </w:rPr>
      </w:pPr>
      <w:r w:rsidRPr="00656AD3">
        <w:rPr>
          <w:b/>
          <w:sz w:val="24"/>
          <w:szCs w:val="24"/>
        </w:rPr>
        <w:t>3.</w:t>
      </w:r>
      <w:r w:rsidR="00605755">
        <w:rPr>
          <w:b/>
          <w:sz w:val="24"/>
          <w:szCs w:val="24"/>
        </w:rPr>
        <w:t>5</w:t>
      </w:r>
      <w:r w:rsidRPr="00656AD3">
        <w:rPr>
          <w:b/>
          <w:sz w:val="24"/>
          <w:szCs w:val="24"/>
        </w:rPr>
        <w:tab/>
      </w:r>
      <w:r w:rsidR="00495589" w:rsidRPr="00656AD3">
        <w:rPr>
          <w:b/>
          <w:sz w:val="24"/>
          <w:szCs w:val="24"/>
        </w:rPr>
        <w:t>Housing Revenue Account</w:t>
      </w:r>
    </w:p>
    <w:p w:rsidR="00FC233E" w:rsidRDefault="00FC233E" w:rsidP="0073669D">
      <w:pPr>
        <w:ind w:left="851" w:hanging="851"/>
        <w:rPr>
          <w:sz w:val="24"/>
          <w:szCs w:val="24"/>
        </w:rPr>
      </w:pPr>
    </w:p>
    <w:p w:rsidR="008262C9" w:rsidRDefault="00605755" w:rsidP="00772FE1">
      <w:pPr>
        <w:ind w:left="851" w:hanging="851"/>
        <w:jc w:val="left"/>
        <w:rPr>
          <w:sz w:val="24"/>
          <w:szCs w:val="24"/>
        </w:rPr>
      </w:pPr>
      <w:r>
        <w:rPr>
          <w:sz w:val="24"/>
          <w:szCs w:val="24"/>
        </w:rPr>
        <w:t>3.5.1</w:t>
      </w:r>
      <w:r w:rsidR="008262C9">
        <w:rPr>
          <w:sz w:val="24"/>
          <w:szCs w:val="24"/>
        </w:rPr>
        <w:tab/>
      </w:r>
      <w:r w:rsidR="008262C9" w:rsidRPr="00656AD3">
        <w:rPr>
          <w:sz w:val="24"/>
          <w:szCs w:val="24"/>
        </w:rPr>
        <w:t>The Housing Revenue Account (HRA) is a ring fenced account, within which the costs incurred by the Council in delivering a landlord function in respect of its council dwellings is met through rents paid by Council tenants</w:t>
      </w:r>
    </w:p>
    <w:p w:rsidR="008262C9" w:rsidRDefault="008262C9" w:rsidP="00772FE1">
      <w:pPr>
        <w:ind w:left="851" w:hanging="851"/>
        <w:jc w:val="left"/>
        <w:rPr>
          <w:sz w:val="24"/>
          <w:szCs w:val="24"/>
        </w:rPr>
      </w:pPr>
    </w:p>
    <w:p w:rsidR="006A5A19" w:rsidRDefault="006A5A19" w:rsidP="00106DCF">
      <w:pPr>
        <w:jc w:val="left"/>
        <w:rPr>
          <w:sz w:val="24"/>
          <w:szCs w:val="24"/>
        </w:rPr>
      </w:pPr>
    </w:p>
    <w:p w:rsidR="008262C9" w:rsidRPr="008262C9" w:rsidRDefault="00605755" w:rsidP="00772FE1">
      <w:pPr>
        <w:ind w:left="720" w:hanging="720"/>
        <w:jc w:val="left"/>
        <w:rPr>
          <w:b/>
          <w:sz w:val="24"/>
          <w:szCs w:val="24"/>
        </w:rPr>
      </w:pPr>
      <w:r>
        <w:rPr>
          <w:b/>
          <w:sz w:val="24"/>
          <w:szCs w:val="24"/>
        </w:rPr>
        <w:t>3.5.</w:t>
      </w:r>
      <w:r w:rsidR="00DF553C">
        <w:rPr>
          <w:b/>
          <w:sz w:val="24"/>
          <w:szCs w:val="24"/>
        </w:rPr>
        <w:t>2</w:t>
      </w:r>
      <w:r w:rsidR="008262C9">
        <w:rPr>
          <w:b/>
          <w:sz w:val="24"/>
          <w:szCs w:val="24"/>
        </w:rPr>
        <w:tab/>
      </w:r>
      <w:r w:rsidR="000618FA">
        <w:rPr>
          <w:b/>
          <w:sz w:val="24"/>
          <w:szCs w:val="24"/>
        </w:rPr>
        <w:t xml:space="preserve">Housing Revenue Account (HRA) </w:t>
      </w:r>
      <w:r w:rsidR="008262C9" w:rsidRPr="008262C9">
        <w:rPr>
          <w:b/>
          <w:sz w:val="24"/>
          <w:szCs w:val="24"/>
        </w:rPr>
        <w:t>Proposed Budget</w:t>
      </w:r>
      <w:r w:rsidR="000618FA">
        <w:rPr>
          <w:b/>
          <w:sz w:val="24"/>
          <w:szCs w:val="24"/>
        </w:rPr>
        <w:t>, 202</w:t>
      </w:r>
      <w:r w:rsidR="0097075D">
        <w:rPr>
          <w:b/>
          <w:sz w:val="24"/>
          <w:szCs w:val="24"/>
        </w:rPr>
        <w:t>3</w:t>
      </w:r>
      <w:r w:rsidR="000618FA">
        <w:rPr>
          <w:b/>
          <w:sz w:val="24"/>
          <w:szCs w:val="24"/>
        </w:rPr>
        <w:t>/2</w:t>
      </w:r>
      <w:r w:rsidR="0097075D">
        <w:rPr>
          <w:b/>
          <w:sz w:val="24"/>
          <w:szCs w:val="24"/>
        </w:rPr>
        <w:t>4</w:t>
      </w:r>
      <w:r w:rsidR="0041730E">
        <w:rPr>
          <w:b/>
          <w:sz w:val="24"/>
          <w:szCs w:val="24"/>
        </w:rPr>
        <w:t xml:space="preserve"> to 202</w:t>
      </w:r>
      <w:r w:rsidR="0097075D">
        <w:rPr>
          <w:b/>
          <w:sz w:val="24"/>
          <w:szCs w:val="24"/>
        </w:rPr>
        <w:t>5/26</w:t>
      </w:r>
    </w:p>
    <w:p w:rsidR="008262C9" w:rsidRPr="00656AD3" w:rsidRDefault="008262C9" w:rsidP="00772FE1">
      <w:pPr>
        <w:jc w:val="left"/>
        <w:rPr>
          <w:sz w:val="24"/>
          <w:szCs w:val="24"/>
        </w:rPr>
      </w:pPr>
    </w:p>
    <w:p w:rsidR="0074767C" w:rsidRPr="00656AD3" w:rsidRDefault="00245A2A" w:rsidP="00990FB6">
      <w:pPr>
        <w:ind w:left="851" w:hanging="851"/>
        <w:jc w:val="left"/>
        <w:rPr>
          <w:sz w:val="24"/>
          <w:szCs w:val="24"/>
        </w:rPr>
      </w:pPr>
      <w:r w:rsidRPr="00656AD3">
        <w:rPr>
          <w:sz w:val="24"/>
          <w:szCs w:val="24"/>
        </w:rPr>
        <w:t>3.</w:t>
      </w:r>
      <w:r w:rsidR="00605755">
        <w:rPr>
          <w:sz w:val="24"/>
          <w:szCs w:val="24"/>
        </w:rPr>
        <w:t>5.</w:t>
      </w:r>
      <w:r w:rsidR="00DF553C">
        <w:rPr>
          <w:sz w:val="24"/>
          <w:szCs w:val="24"/>
        </w:rPr>
        <w:t>2</w:t>
      </w:r>
      <w:r w:rsidR="00605755">
        <w:rPr>
          <w:sz w:val="24"/>
          <w:szCs w:val="24"/>
        </w:rPr>
        <w:t>.1</w:t>
      </w:r>
      <w:r w:rsidR="00502549" w:rsidRPr="00656AD3">
        <w:rPr>
          <w:sz w:val="24"/>
          <w:szCs w:val="24"/>
        </w:rPr>
        <w:tab/>
      </w:r>
      <w:r w:rsidR="00755F99">
        <w:rPr>
          <w:sz w:val="24"/>
          <w:szCs w:val="24"/>
        </w:rPr>
        <w:t>Appendix 3</w:t>
      </w:r>
      <w:r w:rsidR="00C93606" w:rsidRPr="00656AD3">
        <w:rPr>
          <w:sz w:val="24"/>
          <w:szCs w:val="24"/>
        </w:rPr>
        <w:t xml:space="preserve"> </w:t>
      </w:r>
      <w:r w:rsidR="00FC233E" w:rsidRPr="00656AD3">
        <w:rPr>
          <w:sz w:val="24"/>
          <w:szCs w:val="24"/>
        </w:rPr>
        <w:t>summarises the Housing Revenue Account proposed budgets</w:t>
      </w:r>
      <w:r w:rsidR="0041730E">
        <w:rPr>
          <w:sz w:val="24"/>
          <w:szCs w:val="24"/>
        </w:rPr>
        <w:t xml:space="preserve"> for the 202</w:t>
      </w:r>
      <w:r w:rsidR="0097075D">
        <w:rPr>
          <w:sz w:val="24"/>
          <w:szCs w:val="24"/>
        </w:rPr>
        <w:t>3</w:t>
      </w:r>
      <w:r w:rsidR="008262C9">
        <w:rPr>
          <w:sz w:val="24"/>
          <w:szCs w:val="24"/>
        </w:rPr>
        <w:t>/</w:t>
      </w:r>
      <w:r w:rsidR="0097075D">
        <w:rPr>
          <w:sz w:val="24"/>
          <w:szCs w:val="24"/>
        </w:rPr>
        <w:t>24</w:t>
      </w:r>
      <w:r w:rsidR="008262C9">
        <w:rPr>
          <w:sz w:val="24"/>
          <w:szCs w:val="24"/>
        </w:rPr>
        <w:t xml:space="preserve"> to 202</w:t>
      </w:r>
      <w:r w:rsidR="0097075D">
        <w:rPr>
          <w:sz w:val="24"/>
          <w:szCs w:val="24"/>
        </w:rPr>
        <w:t>5</w:t>
      </w:r>
      <w:r w:rsidR="008262C9">
        <w:rPr>
          <w:sz w:val="24"/>
          <w:szCs w:val="24"/>
        </w:rPr>
        <w:t>/2</w:t>
      </w:r>
      <w:r w:rsidR="0097075D">
        <w:rPr>
          <w:sz w:val="24"/>
          <w:szCs w:val="24"/>
        </w:rPr>
        <w:t>6</w:t>
      </w:r>
      <w:r w:rsidR="008262C9">
        <w:rPr>
          <w:sz w:val="24"/>
          <w:szCs w:val="24"/>
        </w:rPr>
        <w:t xml:space="preserve"> financial years</w:t>
      </w:r>
      <w:r w:rsidR="00B8719C">
        <w:rPr>
          <w:sz w:val="24"/>
          <w:szCs w:val="24"/>
        </w:rPr>
        <w:t>, based on the HRA 30 year Business Plan</w:t>
      </w:r>
      <w:r w:rsidR="005A0410">
        <w:rPr>
          <w:sz w:val="24"/>
          <w:szCs w:val="24"/>
        </w:rPr>
        <w:t>.</w:t>
      </w:r>
      <w:r w:rsidR="00A14DF2" w:rsidRPr="00656AD3">
        <w:rPr>
          <w:sz w:val="24"/>
          <w:szCs w:val="24"/>
        </w:rPr>
        <w:t xml:space="preserve">  </w:t>
      </w:r>
    </w:p>
    <w:p w:rsidR="00953892" w:rsidRPr="00656AD3" w:rsidRDefault="00953892" w:rsidP="000069CC">
      <w:pPr>
        <w:ind w:left="720" w:hanging="720"/>
        <w:jc w:val="left"/>
        <w:rPr>
          <w:sz w:val="24"/>
          <w:szCs w:val="24"/>
        </w:rPr>
      </w:pPr>
    </w:p>
    <w:p w:rsidR="008D4B66" w:rsidRDefault="005A0410" w:rsidP="00443A5C">
      <w:pPr>
        <w:ind w:left="851" w:hanging="851"/>
        <w:jc w:val="left"/>
        <w:rPr>
          <w:sz w:val="24"/>
          <w:szCs w:val="24"/>
        </w:rPr>
      </w:pPr>
      <w:r w:rsidRPr="00C9273D">
        <w:rPr>
          <w:sz w:val="24"/>
          <w:szCs w:val="24"/>
        </w:rPr>
        <w:t>3.5.2</w:t>
      </w:r>
      <w:r w:rsidR="00DF553C" w:rsidRPr="00C9273D">
        <w:rPr>
          <w:sz w:val="24"/>
          <w:szCs w:val="24"/>
        </w:rPr>
        <w:t>.2</w:t>
      </w:r>
      <w:r w:rsidRPr="00C9273D">
        <w:rPr>
          <w:sz w:val="24"/>
          <w:szCs w:val="24"/>
        </w:rPr>
        <w:tab/>
        <w:t xml:space="preserve">The proposed budget for the Housing Revenue Account (HRA) shows a </w:t>
      </w:r>
      <w:r w:rsidR="00FA3B27" w:rsidRPr="00B42936">
        <w:rPr>
          <w:sz w:val="24"/>
          <w:szCs w:val="24"/>
        </w:rPr>
        <w:t xml:space="preserve">balanced </w:t>
      </w:r>
      <w:r w:rsidR="0041730E" w:rsidRPr="00B42936">
        <w:rPr>
          <w:sz w:val="24"/>
          <w:szCs w:val="24"/>
        </w:rPr>
        <w:t>budget position</w:t>
      </w:r>
      <w:r w:rsidR="0041730E">
        <w:rPr>
          <w:sz w:val="24"/>
          <w:szCs w:val="24"/>
        </w:rPr>
        <w:t xml:space="preserve"> for 202</w:t>
      </w:r>
      <w:r w:rsidR="0097075D">
        <w:rPr>
          <w:sz w:val="24"/>
          <w:szCs w:val="24"/>
        </w:rPr>
        <w:t>3</w:t>
      </w:r>
      <w:r w:rsidRPr="00C9273D">
        <w:rPr>
          <w:sz w:val="24"/>
          <w:szCs w:val="24"/>
        </w:rPr>
        <w:t>/2</w:t>
      </w:r>
      <w:r w:rsidR="0097075D">
        <w:rPr>
          <w:sz w:val="24"/>
          <w:szCs w:val="24"/>
        </w:rPr>
        <w:t>4</w:t>
      </w:r>
      <w:r w:rsidR="00FA3B27">
        <w:rPr>
          <w:sz w:val="24"/>
          <w:szCs w:val="24"/>
        </w:rPr>
        <w:t xml:space="preserve">, with deficits in </w:t>
      </w:r>
      <w:r w:rsidRPr="00C9273D">
        <w:rPr>
          <w:sz w:val="24"/>
          <w:szCs w:val="24"/>
        </w:rPr>
        <w:t>future years</w:t>
      </w:r>
      <w:r w:rsidR="00C872B0" w:rsidRPr="00C9273D">
        <w:rPr>
          <w:sz w:val="24"/>
          <w:szCs w:val="24"/>
        </w:rPr>
        <w:t>.</w:t>
      </w:r>
      <w:r w:rsidRPr="00C9273D">
        <w:rPr>
          <w:sz w:val="24"/>
          <w:szCs w:val="24"/>
        </w:rPr>
        <w:t xml:space="preserve"> </w:t>
      </w:r>
    </w:p>
    <w:p w:rsidR="00F24AAD" w:rsidRDefault="00F24AAD" w:rsidP="00443A5C">
      <w:pPr>
        <w:ind w:left="851" w:hanging="851"/>
        <w:jc w:val="left"/>
        <w:rPr>
          <w:sz w:val="24"/>
          <w:szCs w:val="24"/>
        </w:rPr>
      </w:pPr>
    </w:p>
    <w:p w:rsidR="005365B9" w:rsidRPr="00772FE1" w:rsidRDefault="005365B9" w:rsidP="002366EB">
      <w:pPr>
        <w:jc w:val="left"/>
        <w:rPr>
          <w:b/>
          <w:sz w:val="24"/>
          <w:szCs w:val="24"/>
        </w:rPr>
      </w:pPr>
      <w:r w:rsidRPr="00772FE1">
        <w:rPr>
          <w:b/>
          <w:sz w:val="24"/>
          <w:szCs w:val="24"/>
        </w:rPr>
        <w:t>3.5.3</w:t>
      </w:r>
      <w:r w:rsidRPr="00772FE1">
        <w:rPr>
          <w:b/>
          <w:sz w:val="24"/>
          <w:szCs w:val="24"/>
        </w:rPr>
        <w:tab/>
      </w:r>
      <w:r w:rsidR="002366EB">
        <w:rPr>
          <w:b/>
          <w:sz w:val="24"/>
          <w:szCs w:val="24"/>
        </w:rPr>
        <w:t xml:space="preserve">  </w:t>
      </w:r>
      <w:r w:rsidRPr="00772FE1">
        <w:rPr>
          <w:b/>
          <w:sz w:val="24"/>
          <w:szCs w:val="24"/>
        </w:rPr>
        <w:t>Assumptions</w:t>
      </w:r>
    </w:p>
    <w:p w:rsidR="005365B9" w:rsidRDefault="005365B9" w:rsidP="005365B9">
      <w:pPr>
        <w:ind w:left="851" w:hanging="851"/>
        <w:jc w:val="left"/>
        <w:rPr>
          <w:sz w:val="24"/>
          <w:szCs w:val="24"/>
        </w:rPr>
      </w:pPr>
    </w:p>
    <w:p w:rsidR="005365B9" w:rsidRDefault="005365B9" w:rsidP="005365B9">
      <w:pPr>
        <w:ind w:left="851" w:hanging="851"/>
        <w:jc w:val="left"/>
        <w:rPr>
          <w:sz w:val="24"/>
          <w:szCs w:val="24"/>
        </w:rPr>
      </w:pPr>
      <w:r>
        <w:rPr>
          <w:sz w:val="24"/>
          <w:szCs w:val="24"/>
        </w:rPr>
        <w:t>3.5.3.1</w:t>
      </w:r>
      <w:r>
        <w:rPr>
          <w:sz w:val="24"/>
          <w:szCs w:val="24"/>
        </w:rPr>
        <w:tab/>
        <w:t>The HRA budget makes the same assumptions as the General Fund in relation to staff costs and inflation, however there are some additional assumptions which are specific to the HRA, including:</w:t>
      </w:r>
    </w:p>
    <w:p w:rsidR="005365B9" w:rsidRDefault="005365B9" w:rsidP="005365B9">
      <w:pPr>
        <w:ind w:left="851" w:hanging="851"/>
        <w:jc w:val="left"/>
        <w:rPr>
          <w:sz w:val="24"/>
          <w:szCs w:val="24"/>
        </w:rPr>
      </w:pPr>
    </w:p>
    <w:p w:rsidR="005365B9" w:rsidRPr="00896C6F" w:rsidRDefault="005365B9" w:rsidP="003F18F0">
      <w:pPr>
        <w:ind w:left="851" w:hanging="851"/>
        <w:jc w:val="left"/>
        <w:rPr>
          <w:sz w:val="24"/>
          <w:szCs w:val="24"/>
        </w:rPr>
      </w:pPr>
      <w:r w:rsidRPr="00896C6F">
        <w:rPr>
          <w:sz w:val="24"/>
          <w:szCs w:val="24"/>
        </w:rPr>
        <w:t>3.5.3.2</w:t>
      </w:r>
      <w:r w:rsidRPr="00896C6F">
        <w:rPr>
          <w:sz w:val="24"/>
          <w:szCs w:val="24"/>
        </w:rPr>
        <w:tab/>
        <w:t>Council Dwelling rents – For 202</w:t>
      </w:r>
      <w:r w:rsidR="0097075D">
        <w:rPr>
          <w:sz w:val="24"/>
          <w:szCs w:val="24"/>
        </w:rPr>
        <w:t>3</w:t>
      </w:r>
      <w:r w:rsidRPr="00896C6F">
        <w:rPr>
          <w:sz w:val="24"/>
          <w:szCs w:val="24"/>
        </w:rPr>
        <w:t>/2</w:t>
      </w:r>
      <w:r w:rsidR="0097075D">
        <w:rPr>
          <w:sz w:val="24"/>
          <w:szCs w:val="24"/>
        </w:rPr>
        <w:t>4</w:t>
      </w:r>
      <w:r w:rsidR="005964FA" w:rsidRPr="00896C6F">
        <w:rPr>
          <w:sz w:val="24"/>
          <w:szCs w:val="24"/>
        </w:rPr>
        <w:t xml:space="preserve"> onwards the </w:t>
      </w:r>
      <w:r w:rsidR="003F18F0">
        <w:rPr>
          <w:sz w:val="24"/>
          <w:szCs w:val="24"/>
        </w:rPr>
        <w:t xml:space="preserve">government </w:t>
      </w:r>
      <w:r w:rsidR="005964FA" w:rsidRPr="00E3394A">
        <w:rPr>
          <w:sz w:val="24"/>
          <w:szCs w:val="24"/>
        </w:rPr>
        <w:t>rent policy</w:t>
      </w:r>
      <w:r w:rsidR="001A0528">
        <w:rPr>
          <w:sz w:val="24"/>
          <w:szCs w:val="24"/>
        </w:rPr>
        <w:t xml:space="preserve"> has been confirmed as an increase of 7%. This is lower than the usual increase of CPI plus 1%, as </w:t>
      </w:r>
      <w:r w:rsidR="001D57B2">
        <w:rPr>
          <w:sz w:val="24"/>
          <w:szCs w:val="24"/>
        </w:rPr>
        <w:t xml:space="preserve">Department for Levelling Up, Housing and Communities </w:t>
      </w:r>
      <w:r w:rsidR="001A0528">
        <w:rPr>
          <w:sz w:val="24"/>
          <w:szCs w:val="24"/>
        </w:rPr>
        <w:t xml:space="preserve">consulted on </w:t>
      </w:r>
      <w:r w:rsidR="001D57B2">
        <w:rPr>
          <w:sz w:val="24"/>
          <w:szCs w:val="24"/>
        </w:rPr>
        <w:t>social housing rent increases</w:t>
      </w:r>
      <w:r w:rsidR="001A0528">
        <w:rPr>
          <w:sz w:val="24"/>
          <w:szCs w:val="24"/>
        </w:rPr>
        <w:t xml:space="preserve"> in the </w:t>
      </w:r>
      <w:proofErr w:type="gramStart"/>
      <w:r w:rsidR="001A0528">
        <w:rPr>
          <w:sz w:val="24"/>
          <w:szCs w:val="24"/>
        </w:rPr>
        <w:t>Autumn</w:t>
      </w:r>
      <w:proofErr w:type="gramEnd"/>
      <w:r w:rsidR="001A0528">
        <w:rPr>
          <w:sz w:val="24"/>
          <w:szCs w:val="24"/>
        </w:rPr>
        <w:t>, in response to the cost of living crisis. This has been reflected in the HRA budgets.</w:t>
      </w:r>
      <w:r w:rsidR="00150A55">
        <w:rPr>
          <w:sz w:val="24"/>
          <w:szCs w:val="24"/>
        </w:rPr>
        <w:t xml:space="preserve"> </w:t>
      </w:r>
    </w:p>
    <w:p w:rsidR="005365B9" w:rsidRPr="00772FE1" w:rsidRDefault="005365B9" w:rsidP="005365B9">
      <w:pPr>
        <w:ind w:left="851" w:hanging="851"/>
        <w:jc w:val="left"/>
        <w:rPr>
          <w:sz w:val="24"/>
          <w:szCs w:val="24"/>
        </w:rPr>
      </w:pPr>
    </w:p>
    <w:p w:rsidR="005365B9" w:rsidRDefault="005365B9" w:rsidP="005365B9">
      <w:pPr>
        <w:ind w:left="851" w:hanging="851"/>
        <w:jc w:val="left"/>
        <w:rPr>
          <w:sz w:val="24"/>
          <w:szCs w:val="24"/>
        </w:rPr>
      </w:pPr>
      <w:r w:rsidRPr="00990FB6">
        <w:rPr>
          <w:sz w:val="24"/>
          <w:szCs w:val="24"/>
        </w:rPr>
        <w:t>3.5.3.3</w:t>
      </w:r>
      <w:r w:rsidRPr="00990FB6">
        <w:rPr>
          <w:sz w:val="24"/>
          <w:szCs w:val="24"/>
        </w:rPr>
        <w:tab/>
        <w:t>HRA specific fees and charges – Although the main source of income available to the H</w:t>
      </w:r>
      <w:r>
        <w:rPr>
          <w:sz w:val="24"/>
          <w:szCs w:val="24"/>
        </w:rPr>
        <w:t xml:space="preserve">ousing </w:t>
      </w:r>
      <w:r w:rsidRPr="00990FB6">
        <w:rPr>
          <w:sz w:val="24"/>
          <w:szCs w:val="24"/>
        </w:rPr>
        <w:t>R</w:t>
      </w:r>
      <w:r>
        <w:rPr>
          <w:sz w:val="24"/>
          <w:szCs w:val="24"/>
        </w:rPr>
        <w:t xml:space="preserve">evenue </w:t>
      </w:r>
      <w:r w:rsidRPr="00990FB6">
        <w:rPr>
          <w:sz w:val="24"/>
          <w:szCs w:val="24"/>
        </w:rPr>
        <w:t>A</w:t>
      </w:r>
      <w:r>
        <w:rPr>
          <w:sz w:val="24"/>
          <w:szCs w:val="24"/>
        </w:rPr>
        <w:t>ccount</w:t>
      </w:r>
      <w:r w:rsidRPr="00990FB6">
        <w:rPr>
          <w:sz w:val="24"/>
          <w:szCs w:val="24"/>
        </w:rPr>
        <w:t xml:space="preserve"> is dwelling rents, </w:t>
      </w:r>
      <w:r>
        <w:rPr>
          <w:sz w:val="24"/>
          <w:szCs w:val="24"/>
        </w:rPr>
        <w:t>it</w:t>
      </w:r>
      <w:r w:rsidRPr="00990FB6">
        <w:rPr>
          <w:sz w:val="24"/>
          <w:szCs w:val="24"/>
        </w:rPr>
        <w:t xml:space="preserve"> is also dependent for its</w:t>
      </w:r>
      <w:r>
        <w:rPr>
          <w:sz w:val="24"/>
          <w:szCs w:val="24"/>
        </w:rPr>
        <w:t xml:space="preserve"> financial sustainability on a range of other charges.  These charges are set on the principle that wherever possible the </w:t>
      </w:r>
      <w:r w:rsidRPr="00E33107">
        <w:rPr>
          <w:sz w:val="24"/>
          <w:szCs w:val="24"/>
        </w:rPr>
        <w:t xml:space="preserve">charge for the service should reflect the cost of providing those services. </w:t>
      </w:r>
    </w:p>
    <w:p w:rsidR="005365B9" w:rsidRDefault="005365B9" w:rsidP="005365B9">
      <w:pPr>
        <w:ind w:left="851" w:hanging="851"/>
        <w:jc w:val="left"/>
        <w:rPr>
          <w:sz w:val="24"/>
          <w:szCs w:val="24"/>
        </w:rPr>
      </w:pPr>
    </w:p>
    <w:p w:rsidR="005365B9" w:rsidRDefault="005365B9" w:rsidP="005365B9">
      <w:pPr>
        <w:ind w:left="851" w:hanging="851"/>
        <w:jc w:val="left"/>
        <w:rPr>
          <w:rFonts w:cs="Arial"/>
          <w:sz w:val="24"/>
          <w:szCs w:val="24"/>
        </w:rPr>
      </w:pPr>
      <w:r>
        <w:rPr>
          <w:rFonts w:cs="Arial"/>
          <w:sz w:val="24"/>
          <w:szCs w:val="24"/>
        </w:rPr>
        <w:t>3.5.3.4</w:t>
      </w:r>
      <w:r>
        <w:rPr>
          <w:rFonts w:cs="Arial"/>
          <w:sz w:val="24"/>
          <w:szCs w:val="24"/>
        </w:rPr>
        <w:tab/>
      </w:r>
      <w:r w:rsidR="00B42936">
        <w:rPr>
          <w:rFonts w:cs="Arial"/>
          <w:sz w:val="24"/>
          <w:szCs w:val="24"/>
        </w:rPr>
        <w:t>Proposed HRA fees and charges for the 2023/24 financial year have been reviewed by Overview &amp; Scrutiny Committee (Corporate Resources) at its meeting on 23</w:t>
      </w:r>
      <w:r w:rsidR="00B42936" w:rsidRPr="00B42936">
        <w:rPr>
          <w:rFonts w:cs="Arial"/>
          <w:sz w:val="24"/>
          <w:szCs w:val="24"/>
          <w:vertAlign w:val="superscript"/>
        </w:rPr>
        <w:t>rd</w:t>
      </w:r>
      <w:r w:rsidR="00B42936">
        <w:rPr>
          <w:rFonts w:cs="Arial"/>
          <w:sz w:val="24"/>
          <w:szCs w:val="24"/>
        </w:rPr>
        <w:t xml:space="preserve"> September 2022. </w:t>
      </w:r>
      <w:r>
        <w:rPr>
          <w:rFonts w:cs="Arial"/>
          <w:sz w:val="24"/>
          <w:szCs w:val="24"/>
        </w:rPr>
        <w:t>The fees and charges put forward have been used in calculating the proposed Housing Revenue Account budgets, changes to this would result also in changes to those budgets.</w:t>
      </w:r>
    </w:p>
    <w:p w:rsidR="005365B9" w:rsidRDefault="005365B9" w:rsidP="005365B9">
      <w:pPr>
        <w:ind w:left="851" w:hanging="851"/>
        <w:jc w:val="left"/>
        <w:rPr>
          <w:sz w:val="24"/>
          <w:szCs w:val="24"/>
        </w:rPr>
      </w:pPr>
    </w:p>
    <w:p w:rsidR="005A0410" w:rsidRDefault="005A0410">
      <w:pPr>
        <w:jc w:val="left"/>
        <w:rPr>
          <w:b/>
          <w:sz w:val="24"/>
          <w:szCs w:val="24"/>
        </w:rPr>
      </w:pPr>
    </w:p>
    <w:p w:rsidR="00141AB6" w:rsidRPr="00656AD3" w:rsidRDefault="003D546F" w:rsidP="0073669D">
      <w:pPr>
        <w:ind w:left="851" w:hanging="851"/>
        <w:rPr>
          <w:b/>
          <w:sz w:val="24"/>
          <w:szCs w:val="24"/>
        </w:rPr>
      </w:pPr>
      <w:r w:rsidRPr="00656AD3">
        <w:rPr>
          <w:b/>
          <w:sz w:val="24"/>
          <w:szCs w:val="24"/>
        </w:rPr>
        <w:t>3.</w:t>
      </w:r>
      <w:r w:rsidR="00605755">
        <w:rPr>
          <w:b/>
          <w:sz w:val="24"/>
          <w:szCs w:val="24"/>
        </w:rPr>
        <w:t>5.</w:t>
      </w:r>
      <w:r w:rsidR="00DF553C">
        <w:rPr>
          <w:b/>
          <w:sz w:val="24"/>
          <w:szCs w:val="24"/>
        </w:rPr>
        <w:t>4</w:t>
      </w:r>
      <w:r w:rsidRPr="00656AD3">
        <w:rPr>
          <w:b/>
          <w:sz w:val="24"/>
          <w:szCs w:val="24"/>
        </w:rPr>
        <w:tab/>
      </w:r>
      <w:r w:rsidR="00141AB6" w:rsidRPr="00656AD3">
        <w:rPr>
          <w:b/>
          <w:sz w:val="24"/>
          <w:szCs w:val="24"/>
        </w:rPr>
        <w:t>Housing Revenue Account Reserves</w:t>
      </w:r>
    </w:p>
    <w:p w:rsidR="00141AB6" w:rsidRPr="00656AD3" w:rsidRDefault="00141AB6" w:rsidP="0073669D">
      <w:pPr>
        <w:ind w:left="851" w:hanging="851"/>
        <w:jc w:val="left"/>
        <w:rPr>
          <w:sz w:val="24"/>
          <w:szCs w:val="24"/>
        </w:rPr>
      </w:pPr>
    </w:p>
    <w:p w:rsidR="0063699B" w:rsidRPr="00E33107" w:rsidRDefault="00245A2A" w:rsidP="0073669D">
      <w:pPr>
        <w:ind w:left="851" w:hanging="851"/>
        <w:jc w:val="left"/>
        <w:rPr>
          <w:sz w:val="24"/>
          <w:szCs w:val="24"/>
        </w:rPr>
      </w:pPr>
      <w:r w:rsidRPr="00703F92">
        <w:rPr>
          <w:sz w:val="24"/>
          <w:szCs w:val="24"/>
        </w:rPr>
        <w:t>3.</w:t>
      </w:r>
      <w:r w:rsidR="00605755" w:rsidRPr="00703F92">
        <w:rPr>
          <w:sz w:val="24"/>
          <w:szCs w:val="24"/>
        </w:rPr>
        <w:t>5.</w:t>
      </w:r>
      <w:r w:rsidR="00DF553C" w:rsidRPr="00703F92">
        <w:rPr>
          <w:sz w:val="24"/>
          <w:szCs w:val="24"/>
        </w:rPr>
        <w:t>4</w:t>
      </w:r>
      <w:r w:rsidR="00605755" w:rsidRPr="00703F92">
        <w:rPr>
          <w:sz w:val="24"/>
          <w:szCs w:val="24"/>
        </w:rPr>
        <w:t>.1</w:t>
      </w:r>
      <w:r w:rsidR="00502549" w:rsidRPr="00703F92">
        <w:rPr>
          <w:sz w:val="24"/>
          <w:szCs w:val="24"/>
        </w:rPr>
        <w:tab/>
      </w:r>
      <w:r w:rsidR="00141AB6" w:rsidRPr="00703F92">
        <w:rPr>
          <w:sz w:val="24"/>
          <w:szCs w:val="24"/>
        </w:rPr>
        <w:t xml:space="preserve">At 31 March </w:t>
      </w:r>
      <w:r w:rsidR="008262C9" w:rsidRPr="00703F92">
        <w:rPr>
          <w:sz w:val="24"/>
          <w:szCs w:val="24"/>
        </w:rPr>
        <w:t>20</w:t>
      </w:r>
      <w:r w:rsidR="0097075D">
        <w:rPr>
          <w:sz w:val="24"/>
          <w:szCs w:val="24"/>
        </w:rPr>
        <w:t>22</w:t>
      </w:r>
      <w:r w:rsidR="00141AB6" w:rsidRPr="00703F92">
        <w:rPr>
          <w:sz w:val="24"/>
          <w:szCs w:val="24"/>
        </w:rPr>
        <w:t>, Housing Revenue Account Reserves stood at £</w:t>
      </w:r>
      <w:r w:rsidR="00330AA9" w:rsidRPr="00703F92">
        <w:rPr>
          <w:sz w:val="24"/>
          <w:szCs w:val="24"/>
        </w:rPr>
        <w:t>2</w:t>
      </w:r>
      <w:r w:rsidR="0097075D">
        <w:rPr>
          <w:sz w:val="24"/>
          <w:szCs w:val="24"/>
        </w:rPr>
        <w:t>9.207</w:t>
      </w:r>
      <w:r w:rsidR="00330AA9" w:rsidRPr="00703F92">
        <w:rPr>
          <w:sz w:val="24"/>
          <w:szCs w:val="24"/>
        </w:rPr>
        <w:t>million</w:t>
      </w:r>
      <w:r w:rsidR="0063699B" w:rsidRPr="00703F92">
        <w:rPr>
          <w:sz w:val="24"/>
          <w:szCs w:val="24"/>
        </w:rPr>
        <w:t>, of which £</w:t>
      </w:r>
      <w:r w:rsidR="00BA484C" w:rsidRPr="00703F92">
        <w:rPr>
          <w:sz w:val="24"/>
          <w:szCs w:val="24"/>
        </w:rPr>
        <w:t>2</w:t>
      </w:r>
      <w:r w:rsidR="0097075D">
        <w:rPr>
          <w:sz w:val="24"/>
          <w:szCs w:val="24"/>
        </w:rPr>
        <w:t>7.457</w:t>
      </w:r>
      <w:r w:rsidR="00F02F00" w:rsidRPr="00703F92">
        <w:rPr>
          <w:sz w:val="24"/>
          <w:szCs w:val="24"/>
        </w:rPr>
        <w:t xml:space="preserve">million </w:t>
      </w:r>
      <w:r w:rsidR="0063699B" w:rsidRPr="00703F92">
        <w:rPr>
          <w:sz w:val="24"/>
          <w:szCs w:val="24"/>
        </w:rPr>
        <w:t xml:space="preserve">has been committed towards future planned expenditure, as set out in </w:t>
      </w:r>
      <w:r w:rsidR="0063699B" w:rsidRPr="00E3394A">
        <w:rPr>
          <w:sz w:val="24"/>
          <w:szCs w:val="24"/>
        </w:rPr>
        <w:t xml:space="preserve">Table </w:t>
      </w:r>
      <w:r w:rsidR="00755F99" w:rsidRPr="00E3394A">
        <w:rPr>
          <w:sz w:val="24"/>
          <w:szCs w:val="24"/>
        </w:rPr>
        <w:t>2</w:t>
      </w:r>
      <w:r w:rsidR="0063699B" w:rsidRPr="00E3394A">
        <w:rPr>
          <w:sz w:val="24"/>
          <w:szCs w:val="24"/>
        </w:rPr>
        <w:t xml:space="preserve"> below.</w:t>
      </w:r>
    </w:p>
    <w:p w:rsidR="00A17C03" w:rsidRPr="00E33107" w:rsidRDefault="00A17C03" w:rsidP="0073669D">
      <w:pPr>
        <w:ind w:left="851" w:hanging="851"/>
        <w:jc w:val="left"/>
        <w:rPr>
          <w:sz w:val="24"/>
          <w:szCs w:val="24"/>
        </w:rPr>
      </w:pPr>
    </w:p>
    <w:p w:rsidR="000618FA" w:rsidRPr="00C70245" w:rsidRDefault="0063699B" w:rsidP="0090496B">
      <w:pPr>
        <w:ind w:left="851" w:hanging="851"/>
        <w:jc w:val="center"/>
        <w:rPr>
          <w:b/>
          <w:sz w:val="24"/>
          <w:szCs w:val="24"/>
        </w:rPr>
      </w:pPr>
      <w:r w:rsidRPr="00C70245">
        <w:rPr>
          <w:b/>
          <w:sz w:val="24"/>
          <w:szCs w:val="24"/>
        </w:rPr>
        <w:t xml:space="preserve">Table </w:t>
      </w:r>
      <w:r w:rsidR="00755F99" w:rsidRPr="00C70245">
        <w:rPr>
          <w:b/>
          <w:sz w:val="24"/>
          <w:szCs w:val="24"/>
        </w:rPr>
        <w:t>2</w:t>
      </w:r>
    </w:p>
    <w:p w:rsidR="00330AA9" w:rsidRPr="00656AD3" w:rsidRDefault="00E3394A" w:rsidP="0073669D">
      <w:pPr>
        <w:ind w:left="851" w:hanging="851"/>
        <w:jc w:val="center"/>
        <w:outlineLvl w:val="0"/>
        <w:rPr>
          <w:sz w:val="24"/>
          <w:szCs w:val="24"/>
        </w:rPr>
      </w:pPr>
      <w:r w:rsidRPr="00E3394A">
        <w:rPr>
          <w:noProof/>
        </w:rPr>
        <w:drawing>
          <wp:inline distT="0" distB="0" distL="0" distR="0" wp14:anchorId="6CBAAEF0" wp14:editId="60D2F3F4">
            <wp:extent cx="3223260" cy="11963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260" cy="1196340"/>
                    </a:xfrm>
                    <a:prstGeom prst="rect">
                      <a:avLst/>
                    </a:prstGeom>
                    <a:noFill/>
                    <a:ln>
                      <a:noFill/>
                    </a:ln>
                  </pic:spPr>
                </pic:pic>
              </a:graphicData>
            </a:graphic>
          </wp:inline>
        </w:drawing>
      </w:r>
    </w:p>
    <w:p w:rsidR="00141AB6" w:rsidRPr="00656AD3" w:rsidRDefault="00141AB6" w:rsidP="0073669D">
      <w:pPr>
        <w:ind w:left="851" w:hanging="851"/>
        <w:jc w:val="left"/>
        <w:rPr>
          <w:sz w:val="24"/>
          <w:szCs w:val="24"/>
        </w:rPr>
      </w:pPr>
    </w:p>
    <w:p w:rsidR="00141AB6" w:rsidRPr="00656AD3" w:rsidRDefault="00245A2A" w:rsidP="0073669D">
      <w:pPr>
        <w:ind w:left="851" w:hanging="851"/>
        <w:jc w:val="left"/>
        <w:rPr>
          <w:sz w:val="24"/>
          <w:szCs w:val="24"/>
        </w:rPr>
      </w:pPr>
      <w:r w:rsidRPr="00656AD3">
        <w:rPr>
          <w:sz w:val="24"/>
          <w:szCs w:val="24"/>
        </w:rPr>
        <w:t>3.</w:t>
      </w:r>
      <w:r w:rsidR="00605755">
        <w:rPr>
          <w:sz w:val="24"/>
          <w:szCs w:val="24"/>
        </w:rPr>
        <w:t>5.</w:t>
      </w:r>
      <w:r w:rsidR="00DF553C">
        <w:rPr>
          <w:sz w:val="24"/>
          <w:szCs w:val="24"/>
        </w:rPr>
        <w:t>4</w:t>
      </w:r>
      <w:r w:rsidR="00605755">
        <w:rPr>
          <w:sz w:val="24"/>
          <w:szCs w:val="24"/>
        </w:rPr>
        <w:t>.2</w:t>
      </w:r>
      <w:r w:rsidR="00502549" w:rsidRPr="00656AD3">
        <w:rPr>
          <w:sz w:val="24"/>
          <w:szCs w:val="24"/>
        </w:rPr>
        <w:tab/>
      </w:r>
      <w:r w:rsidR="0063699B" w:rsidRPr="00656AD3">
        <w:rPr>
          <w:sz w:val="24"/>
          <w:szCs w:val="24"/>
        </w:rPr>
        <w:t>This leaves an unallocated balance of £</w:t>
      </w:r>
      <w:r w:rsidR="003968A9">
        <w:rPr>
          <w:sz w:val="24"/>
          <w:szCs w:val="24"/>
        </w:rPr>
        <w:t>1.750</w:t>
      </w:r>
      <w:r w:rsidR="00176EE1" w:rsidRPr="00656AD3">
        <w:rPr>
          <w:sz w:val="24"/>
          <w:szCs w:val="24"/>
        </w:rPr>
        <w:t>million</w:t>
      </w:r>
      <w:r w:rsidR="003968A9">
        <w:rPr>
          <w:sz w:val="24"/>
          <w:szCs w:val="24"/>
        </w:rPr>
        <w:t xml:space="preserve">, which is </w:t>
      </w:r>
      <w:r w:rsidR="00BA484C">
        <w:rPr>
          <w:sz w:val="24"/>
          <w:szCs w:val="24"/>
        </w:rPr>
        <w:t>the minimum level of balances requ</w:t>
      </w:r>
      <w:r w:rsidR="003968A9">
        <w:rPr>
          <w:sz w:val="24"/>
          <w:szCs w:val="24"/>
        </w:rPr>
        <w:t>ired for the HRA.</w:t>
      </w:r>
    </w:p>
    <w:p w:rsidR="00206E68" w:rsidRDefault="00206E68" w:rsidP="0073669D">
      <w:pPr>
        <w:ind w:left="851" w:hanging="851"/>
        <w:jc w:val="left"/>
        <w:rPr>
          <w:sz w:val="24"/>
          <w:szCs w:val="24"/>
        </w:rPr>
      </w:pPr>
    </w:p>
    <w:p w:rsidR="00206E68" w:rsidRDefault="00206E68" w:rsidP="0073669D">
      <w:pPr>
        <w:ind w:left="851" w:hanging="851"/>
        <w:jc w:val="left"/>
        <w:rPr>
          <w:sz w:val="24"/>
          <w:szCs w:val="24"/>
        </w:rPr>
      </w:pPr>
    </w:p>
    <w:p w:rsidR="002366EB" w:rsidRDefault="002366EB" w:rsidP="0073669D">
      <w:pPr>
        <w:ind w:left="851" w:hanging="851"/>
        <w:jc w:val="left"/>
        <w:rPr>
          <w:sz w:val="24"/>
          <w:szCs w:val="24"/>
        </w:rPr>
      </w:pPr>
    </w:p>
    <w:p w:rsidR="002366EB" w:rsidRDefault="002366EB" w:rsidP="0073669D">
      <w:pPr>
        <w:ind w:left="851" w:hanging="851"/>
        <w:jc w:val="left"/>
        <w:rPr>
          <w:sz w:val="24"/>
          <w:szCs w:val="24"/>
        </w:rPr>
      </w:pPr>
    </w:p>
    <w:p w:rsidR="00206E68" w:rsidRPr="0083536B" w:rsidRDefault="00605755" w:rsidP="006647A6">
      <w:pPr>
        <w:ind w:left="851" w:hanging="851"/>
        <w:jc w:val="left"/>
        <w:rPr>
          <w:b/>
          <w:sz w:val="24"/>
          <w:szCs w:val="24"/>
        </w:rPr>
      </w:pPr>
      <w:r>
        <w:rPr>
          <w:b/>
          <w:sz w:val="24"/>
          <w:szCs w:val="24"/>
        </w:rPr>
        <w:t>3.</w:t>
      </w:r>
      <w:r w:rsidR="0017654C">
        <w:rPr>
          <w:b/>
          <w:sz w:val="24"/>
          <w:szCs w:val="24"/>
        </w:rPr>
        <w:t>6</w:t>
      </w:r>
      <w:r>
        <w:rPr>
          <w:b/>
          <w:sz w:val="24"/>
          <w:szCs w:val="24"/>
        </w:rPr>
        <w:tab/>
      </w:r>
      <w:r w:rsidR="00206E68" w:rsidRPr="0083536B">
        <w:rPr>
          <w:b/>
          <w:sz w:val="24"/>
          <w:szCs w:val="24"/>
        </w:rPr>
        <w:t>Capital Programme</w:t>
      </w:r>
    </w:p>
    <w:p w:rsidR="00206E68" w:rsidRDefault="00206E68" w:rsidP="006647A6">
      <w:pPr>
        <w:ind w:left="851" w:hanging="851"/>
        <w:jc w:val="left"/>
        <w:rPr>
          <w:sz w:val="24"/>
          <w:szCs w:val="24"/>
        </w:rPr>
      </w:pPr>
    </w:p>
    <w:p w:rsidR="00BC160C" w:rsidRPr="00844390" w:rsidRDefault="00BC160C" w:rsidP="0041730E">
      <w:pPr>
        <w:ind w:left="851" w:hanging="851"/>
        <w:jc w:val="left"/>
        <w:rPr>
          <w:rFonts w:cs="Arial"/>
          <w:sz w:val="24"/>
          <w:szCs w:val="24"/>
        </w:rPr>
      </w:pPr>
      <w:r w:rsidRPr="00C524BA">
        <w:rPr>
          <w:rFonts w:cs="Arial"/>
          <w:sz w:val="24"/>
          <w:szCs w:val="24"/>
        </w:rPr>
        <w:t>3.</w:t>
      </w:r>
      <w:r w:rsidR="0017654C">
        <w:rPr>
          <w:rFonts w:cs="Arial"/>
          <w:sz w:val="24"/>
          <w:szCs w:val="24"/>
        </w:rPr>
        <w:t>6</w:t>
      </w:r>
      <w:r>
        <w:rPr>
          <w:rFonts w:cs="Arial"/>
          <w:sz w:val="24"/>
          <w:szCs w:val="24"/>
        </w:rPr>
        <w:t>.1</w:t>
      </w:r>
      <w:r w:rsidRPr="00C524BA">
        <w:rPr>
          <w:rFonts w:cs="Arial"/>
          <w:sz w:val="24"/>
          <w:szCs w:val="24"/>
        </w:rPr>
        <w:tab/>
      </w:r>
      <w:r w:rsidRPr="004770E9">
        <w:rPr>
          <w:rFonts w:cs="Arial"/>
          <w:sz w:val="24"/>
          <w:szCs w:val="24"/>
        </w:rPr>
        <w:t xml:space="preserve">Council </w:t>
      </w:r>
      <w:r w:rsidRPr="0041730E">
        <w:rPr>
          <w:rFonts w:cs="Arial"/>
          <w:sz w:val="24"/>
          <w:szCs w:val="24"/>
        </w:rPr>
        <w:t>approved the existing Co</w:t>
      </w:r>
      <w:r w:rsidR="003968A9" w:rsidRPr="0041730E">
        <w:rPr>
          <w:rFonts w:cs="Arial"/>
          <w:sz w:val="24"/>
          <w:szCs w:val="24"/>
        </w:rPr>
        <w:t>n</w:t>
      </w:r>
      <w:r w:rsidR="0097075D">
        <w:rPr>
          <w:rFonts w:cs="Arial"/>
          <w:sz w:val="24"/>
          <w:szCs w:val="24"/>
        </w:rPr>
        <w:t>solidated Capital Programme 2022</w:t>
      </w:r>
      <w:r w:rsidRPr="0041730E">
        <w:rPr>
          <w:rFonts w:cs="Arial"/>
          <w:sz w:val="24"/>
          <w:szCs w:val="24"/>
        </w:rPr>
        <w:t>/2</w:t>
      </w:r>
      <w:r w:rsidR="0097075D">
        <w:rPr>
          <w:rFonts w:cs="Arial"/>
          <w:sz w:val="24"/>
          <w:szCs w:val="24"/>
        </w:rPr>
        <w:t>3</w:t>
      </w:r>
      <w:r w:rsidRPr="0041730E">
        <w:rPr>
          <w:rFonts w:cs="Arial"/>
          <w:sz w:val="24"/>
          <w:szCs w:val="24"/>
        </w:rPr>
        <w:t xml:space="preserve"> to 20</w:t>
      </w:r>
      <w:r w:rsidR="0041730E" w:rsidRPr="0041730E">
        <w:rPr>
          <w:rFonts w:cs="Arial"/>
          <w:sz w:val="24"/>
          <w:szCs w:val="24"/>
        </w:rPr>
        <w:t>2</w:t>
      </w:r>
      <w:r w:rsidR="0097075D">
        <w:rPr>
          <w:rFonts w:cs="Arial"/>
          <w:sz w:val="24"/>
          <w:szCs w:val="24"/>
        </w:rPr>
        <w:t>4</w:t>
      </w:r>
      <w:r w:rsidRPr="0041730E">
        <w:rPr>
          <w:rFonts w:cs="Arial"/>
          <w:sz w:val="24"/>
          <w:szCs w:val="24"/>
        </w:rPr>
        <w:t>/</w:t>
      </w:r>
      <w:r w:rsidR="0097075D">
        <w:rPr>
          <w:rFonts w:cs="Arial"/>
          <w:sz w:val="24"/>
          <w:szCs w:val="24"/>
        </w:rPr>
        <w:t>25</w:t>
      </w:r>
      <w:r w:rsidRPr="0041730E">
        <w:rPr>
          <w:rFonts w:cs="Arial"/>
          <w:sz w:val="24"/>
          <w:szCs w:val="24"/>
        </w:rPr>
        <w:t xml:space="preserve"> on the </w:t>
      </w:r>
      <w:r w:rsidR="0097075D">
        <w:rPr>
          <w:rFonts w:cs="Arial"/>
          <w:sz w:val="24"/>
          <w:szCs w:val="24"/>
        </w:rPr>
        <w:t xml:space="preserve">2 February </w:t>
      </w:r>
      <w:r w:rsidRPr="0041730E">
        <w:rPr>
          <w:rFonts w:cs="Arial"/>
          <w:sz w:val="24"/>
          <w:szCs w:val="24"/>
        </w:rPr>
        <w:t>20</w:t>
      </w:r>
      <w:r w:rsidR="0041730E" w:rsidRPr="0041730E">
        <w:rPr>
          <w:rFonts w:cs="Arial"/>
          <w:sz w:val="24"/>
          <w:szCs w:val="24"/>
        </w:rPr>
        <w:t>2</w:t>
      </w:r>
      <w:r w:rsidR="0097075D">
        <w:rPr>
          <w:rFonts w:cs="Arial"/>
          <w:sz w:val="24"/>
          <w:szCs w:val="24"/>
        </w:rPr>
        <w:t>2</w:t>
      </w:r>
      <w:r w:rsidR="00C872B0" w:rsidRPr="0041730E">
        <w:rPr>
          <w:rFonts w:cs="Arial"/>
          <w:sz w:val="24"/>
          <w:szCs w:val="24"/>
        </w:rPr>
        <w:t>.T</w:t>
      </w:r>
      <w:r w:rsidRPr="0041730E">
        <w:rPr>
          <w:rFonts w:cs="Arial"/>
          <w:sz w:val="24"/>
          <w:szCs w:val="24"/>
        </w:rPr>
        <w:t>he</w:t>
      </w:r>
      <w:r w:rsidRPr="00803F1C">
        <w:rPr>
          <w:rFonts w:cs="Arial"/>
          <w:sz w:val="24"/>
          <w:szCs w:val="24"/>
        </w:rPr>
        <w:t xml:space="preserve"> resources available to finance the Consolidated Capital Programme were </w:t>
      </w:r>
      <w:r w:rsidR="003F2683">
        <w:rPr>
          <w:rFonts w:cs="Arial"/>
          <w:sz w:val="24"/>
          <w:szCs w:val="24"/>
        </w:rPr>
        <w:t xml:space="preserve">also </w:t>
      </w:r>
      <w:r w:rsidRPr="00803F1C">
        <w:rPr>
          <w:rFonts w:cs="Arial"/>
          <w:sz w:val="24"/>
          <w:szCs w:val="24"/>
        </w:rPr>
        <w:t xml:space="preserve">assessed as part of the </w:t>
      </w:r>
      <w:r>
        <w:rPr>
          <w:rFonts w:cs="Arial"/>
          <w:sz w:val="24"/>
          <w:szCs w:val="24"/>
        </w:rPr>
        <w:t xml:space="preserve">budget setting process. </w:t>
      </w:r>
      <w:r w:rsidRPr="003C69B7">
        <w:rPr>
          <w:rFonts w:cs="Arial"/>
          <w:sz w:val="24"/>
          <w:szCs w:val="24"/>
        </w:rPr>
        <w:t>Further reports have been approved since then which have increased the capital programme by adding new schemes.  In</w:t>
      </w:r>
      <w:r>
        <w:rPr>
          <w:rFonts w:cs="Arial"/>
          <w:sz w:val="24"/>
          <w:szCs w:val="24"/>
        </w:rPr>
        <w:t xml:space="preserve"> addition there have been carry forwards from the 20</w:t>
      </w:r>
      <w:r w:rsidR="0041730E">
        <w:rPr>
          <w:rFonts w:cs="Arial"/>
          <w:sz w:val="24"/>
          <w:szCs w:val="24"/>
        </w:rPr>
        <w:t>2</w:t>
      </w:r>
      <w:r w:rsidR="0097075D">
        <w:rPr>
          <w:rFonts w:cs="Arial"/>
          <w:sz w:val="24"/>
          <w:szCs w:val="24"/>
        </w:rPr>
        <w:t>1</w:t>
      </w:r>
      <w:r w:rsidR="0041730E">
        <w:rPr>
          <w:rFonts w:cs="Arial"/>
          <w:sz w:val="24"/>
          <w:szCs w:val="24"/>
        </w:rPr>
        <w:t>/2</w:t>
      </w:r>
      <w:r w:rsidR="0097075D">
        <w:rPr>
          <w:rFonts w:cs="Arial"/>
          <w:sz w:val="24"/>
          <w:szCs w:val="24"/>
        </w:rPr>
        <w:t>2</w:t>
      </w:r>
      <w:r>
        <w:rPr>
          <w:rFonts w:cs="Arial"/>
          <w:sz w:val="24"/>
          <w:szCs w:val="24"/>
        </w:rPr>
        <w:t xml:space="preserve"> capital programme.</w:t>
      </w:r>
      <w:r w:rsidR="00E22B8A">
        <w:rPr>
          <w:rFonts w:cs="Arial"/>
          <w:sz w:val="24"/>
          <w:szCs w:val="24"/>
        </w:rPr>
        <w:t xml:space="preserve">  Any subsequent reports that are approved </w:t>
      </w:r>
      <w:r w:rsidR="003968A9">
        <w:rPr>
          <w:rFonts w:cs="Arial"/>
          <w:sz w:val="24"/>
          <w:szCs w:val="24"/>
        </w:rPr>
        <w:t xml:space="preserve">prior to the Council </w:t>
      </w:r>
      <w:r w:rsidR="003968A9" w:rsidRPr="00394C78">
        <w:rPr>
          <w:rFonts w:cs="Arial"/>
          <w:sz w:val="24"/>
          <w:szCs w:val="24"/>
        </w:rPr>
        <w:t>meeting on</w:t>
      </w:r>
      <w:r w:rsidR="0097075D">
        <w:rPr>
          <w:rFonts w:cs="Arial"/>
          <w:sz w:val="24"/>
          <w:szCs w:val="24"/>
        </w:rPr>
        <w:t xml:space="preserve"> 24 January 2023</w:t>
      </w:r>
      <w:r w:rsidR="003F2683">
        <w:rPr>
          <w:rFonts w:cs="Arial"/>
          <w:sz w:val="24"/>
          <w:szCs w:val="24"/>
        </w:rPr>
        <w:t xml:space="preserve"> will be incorporated into the final budget report.</w:t>
      </w:r>
    </w:p>
    <w:p w:rsidR="00BC160C" w:rsidRDefault="00BC160C" w:rsidP="006647A6">
      <w:pPr>
        <w:ind w:left="851" w:hanging="851"/>
        <w:jc w:val="left"/>
        <w:rPr>
          <w:rFonts w:cs="Arial"/>
          <w:sz w:val="24"/>
          <w:szCs w:val="24"/>
        </w:rPr>
      </w:pPr>
    </w:p>
    <w:p w:rsidR="002E36DD" w:rsidRDefault="002E36DD" w:rsidP="006647A6">
      <w:pPr>
        <w:ind w:left="851" w:hanging="851"/>
        <w:jc w:val="left"/>
        <w:rPr>
          <w:rFonts w:cs="Arial"/>
          <w:sz w:val="24"/>
          <w:szCs w:val="24"/>
        </w:rPr>
      </w:pPr>
    </w:p>
    <w:p w:rsidR="00BC160C" w:rsidRPr="00DD5B09" w:rsidRDefault="00BC160C" w:rsidP="006647A6">
      <w:pPr>
        <w:ind w:left="851" w:hanging="851"/>
        <w:jc w:val="left"/>
        <w:rPr>
          <w:rFonts w:cs="Arial"/>
          <w:sz w:val="24"/>
          <w:szCs w:val="24"/>
        </w:rPr>
      </w:pPr>
      <w:r w:rsidRPr="00DD5B09">
        <w:rPr>
          <w:rFonts w:cs="Arial"/>
          <w:sz w:val="24"/>
          <w:szCs w:val="24"/>
        </w:rPr>
        <w:t>3.</w:t>
      </w:r>
      <w:r w:rsidR="0017654C">
        <w:rPr>
          <w:rFonts w:cs="Arial"/>
          <w:sz w:val="24"/>
          <w:szCs w:val="24"/>
        </w:rPr>
        <w:t>6</w:t>
      </w:r>
      <w:r>
        <w:rPr>
          <w:rFonts w:cs="Arial"/>
          <w:sz w:val="24"/>
          <w:szCs w:val="24"/>
        </w:rPr>
        <w:t>.2</w:t>
      </w:r>
      <w:r w:rsidRPr="00DD5B09">
        <w:rPr>
          <w:rFonts w:cs="Arial"/>
          <w:sz w:val="24"/>
          <w:szCs w:val="24"/>
        </w:rPr>
        <w:tab/>
      </w:r>
      <w:r w:rsidRPr="00DD5B09">
        <w:rPr>
          <w:rFonts w:cs="Arial"/>
          <w:b/>
          <w:sz w:val="24"/>
          <w:szCs w:val="24"/>
        </w:rPr>
        <w:t>General Fund Capital Programme</w:t>
      </w:r>
    </w:p>
    <w:p w:rsidR="00BC160C" w:rsidRPr="00DD5B09" w:rsidRDefault="00BC160C" w:rsidP="006647A6">
      <w:pPr>
        <w:ind w:left="851" w:hanging="851"/>
        <w:jc w:val="left"/>
        <w:rPr>
          <w:rFonts w:cs="Arial"/>
          <w:sz w:val="24"/>
          <w:szCs w:val="24"/>
        </w:rPr>
      </w:pPr>
    </w:p>
    <w:p w:rsidR="00BC160C" w:rsidRPr="00E33107" w:rsidRDefault="00BC160C" w:rsidP="006647A6">
      <w:pPr>
        <w:ind w:left="851" w:hanging="851"/>
        <w:jc w:val="left"/>
        <w:rPr>
          <w:rFonts w:cs="Arial"/>
          <w:sz w:val="24"/>
          <w:szCs w:val="24"/>
        </w:rPr>
      </w:pPr>
      <w:r>
        <w:rPr>
          <w:rFonts w:cs="Arial"/>
          <w:sz w:val="24"/>
          <w:szCs w:val="24"/>
        </w:rPr>
        <w:t>3.</w:t>
      </w:r>
      <w:r w:rsidR="0017654C">
        <w:rPr>
          <w:rFonts w:cs="Arial"/>
          <w:sz w:val="24"/>
          <w:szCs w:val="24"/>
        </w:rPr>
        <w:t>6</w:t>
      </w:r>
      <w:r>
        <w:rPr>
          <w:rFonts w:cs="Arial"/>
          <w:sz w:val="24"/>
          <w:szCs w:val="24"/>
        </w:rPr>
        <w:t xml:space="preserve">.2.1 </w:t>
      </w:r>
      <w:r w:rsidR="00755F99">
        <w:rPr>
          <w:rFonts w:cs="Arial"/>
          <w:sz w:val="24"/>
          <w:szCs w:val="24"/>
        </w:rPr>
        <w:t>Table 3</w:t>
      </w:r>
      <w:r w:rsidRPr="00E33107">
        <w:rPr>
          <w:rFonts w:cs="Arial"/>
          <w:sz w:val="24"/>
          <w:szCs w:val="24"/>
        </w:rPr>
        <w:t xml:space="preserve"> below shows the </w:t>
      </w:r>
      <w:r w:rsidR="00BB22BA">
        <w:rPr>
          <w:rFonts w:cs="Arial"/>
          <w:sz w:val="24"/>
          <w:szCs w:val="24"/>
        </w:rPr>
        <w:t xml:space="preserve">proposed </w:t>
      </w:r>
      <w:r w:rsidR="00242A40">
        <w:rPr>
          <w:rFonts w:cs="Arial"/>
          <w:sz w:val="24"/>
          <w:szCs w:val="24"/>
        </w:rPr>
        <w:t xml:space="preserve">additions to the </w:t>
      </w:r>
      <w:r w:rsidRPr="00E33107">
        <w:rPr>
          <w:rFonts w:cs="Arial"/>
          <w:sz w:val="24"/>
          <w:szCs w:val="24"/>
        </w:rPr>
        <w:t>Consolidated General Fu</w:t>
      </w:r>
      <w:r w:rsidR="0042101C">
        <w:rPr>
          <w:rFonts w:cs="Arial"/>
          <w:sz w:val="24"/>
          <w:szCs w:val="24"/>
        </w:rPr>
        <w:t xml:space="preserve">nd Capital Programme for </w:t>
      </w:r>
      <w:r w:rsidR="00BB22BA">
        <w:rPr>
          <w:rFonts w:cs="Arial"/>
          <w:sz w:val="24"/>
          <w:szCs w:val="24"/>
        </w:rPr>
        <w:t>t</w:t>
      </w:r>
      <w:r w:rsidR="0097075D">
        <w:rPr>
          <w:rFonts w:cs="Arial"/>
          <w:sz w:val="24"/>
          <w:szCs w:val="24"/>
        </w:rPr>
        <w:t>he next three years from 2023</w:t>
      </w:r>
      <w:r w:rsidRPr="00E33107">
        <w:rPr>
          <w:rFonts w:cs="Arial"/>
          <w:sz w:val="24"/>
          <w:szCs w:val="24"/>
        </w:rPr>
        <w:t>/2</w:t>
      </w:r>
      <w:r w:rsidR="0097075D">
        <w:rPr>
          <w:rFonts w:cs="Arial"/>
          <w:sz w:val="24"/>
          <w:szCs w:val="24"/>
        </w:rPr>
        <w:t>4</w:t>
      </w:r>
      <w:r w:rsidRPr="00E33107">
        <w:rPr>
          <w:rFonts w:cs="Arial"/>
          <w:sz w:val="24"/>
          <w:szCs w:val="24"/>
        </w:rPr>
        <w:t xml:space="preserve"> to 202</w:t>
      </w:r>
      <w:r w:rsidR="0097075D">
        <w:rPr>
          <w:rFonts w:cs="Arial"/>
          <w:sz w:val="24"/>
          <w:szCs w:val="24"/>
        </w:rPr>
        <w:t>5</w:t>
      </w:r>
      <w:r w:rsidRPr="00E33107">
        <w:rPr>
          <w:rFonts w:cs="Arial"/>
          <w:sz w:val="24"/>
          <w:szCs w:val="24"/>
        </w:rPr>
        <w:t>/2</w:t>
      </w:r>
      <w:r w:rsidR="0097075D">
        <w:rPr>
          <w:rFonts w:cs="Arial"/>
          <w:sz w:val="24"/>
          <w:szCs w:val="24"/>
        </w:rPr>
        <w:t>6</w:t>
      </w:r>
      <w:r w:rsidRPr="00E33107">
        <w:rPr>
          <w:rFonts w:cs="Arial"/>
          <w:sz w:val="24"/>
          <w:szCs w:val="24"/>
        </w:rPr>
        <w:t xml:space="preserve"> together with the sources of funding. </w:t>
      </w:r>
    </w:p>
    <w:p w:rsidR="00F92C12" w:rsidRPr="001A0528" w:rsidRDefault="00BC160C" w:rsidP="001A0528">
      <w:pPr>
        <w:ind w:left="851" w:hanging="851"/>
        <w:rPr>
          <w:rFonts w:cs="Arial"/>
          <w:sz w:val="24"/>
          <w:szCs w:val="24"/>
        </w:rPr>
      </w:pPr>
      <w:r w:rsidRPr="00E33107">
        <w:rPr>
          <w:rFonts w:cs="Arial"/>
          <w:sz w:val="24"/>
          <w:szCs w:val="24"/>
        </w:rPr>
        <w:t xml:space="preserve"> </w:t>
      </w:r>
    </w:p>
    <w:p w:rsidR="00242A40" w:rsidRPr="00242A40" w:rsidRDefault="00242A40" w:rsidP="00242A40">
      <w:pPr>
        <w:ind w:left="851" w:hanging="851"/>
        <w:jc w:val="center"/>
        <w:rPr>
          <w:rFonts w:cs="Arial"/>
          <w:b/>
          <w:sz w:val="24"/>
          <w:szCs w:val="24"/>
        </w:rPr>
      </w:pPr>
      <w:r w:rsidRPr="00242A40">
        <w:rPr>
          <w:rFonts w:cs="Arial"/>
          <w:b/>
          <w:sz w:val="24"/>
          <w:szCs w:val="24"/>
        </w:rPr>
        <w:t>Table 3</w:t>
      </w:r>
    </w:p>
    <w:p w:rsidR="004C75D6" w:rsidRDefault="004C75D6" w:rsidP="00BC160C">
      <w:pPr>
        <w:ind w:left="851" w:hanging="851"/>
        <w:jc w:val="center"/>
        <w:rPr>
          <w:noProof/>
        </w:rPr>
      </w:pPr>
    </w:p>
    <w:p w:rsidR="00F92C12" w:rsidRDefault="00F92C12" w:rsidP="00BC160C">
      <w:pPr>
        <w:ind w:left="851" w:hanging="851"/>
        <w:jc w:val="center"/>
        <w:rPr>
          <w:rFonts w:cs="Arial"/>
          <w:sz w:val="24"/>
          <w:szCs w:val="24"/>
        </w:rPr>
      </w:pPr>
      <w:r w:rsidRPr="00F92C12">
        <w:rPr>
          <w:noProof/>
        </w:rPr>
        <w:drawing>
          <wp:inline distT="0" distB="0" distL="0" distR="0" wp14:anchorId="495607E8" wp14:editId="1F304252">
            <wp:extent cx="5143500" cy="2278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278380"/>
                    </a:xfrm>
                    <a:prstGeom prst="rect">
                      <a:avLst/>
                    </a:prstGeom>
                    <a:noFill/>
                    <a:ln>
                      <a:noFill/>
                    </a:ln>
                  </pic:spPr>
                </pic:pic>
              </a:graphicData>
            </a:graphic>
          </wp:inline>
        </w:drawing>
      </w:r>
    </w:p>
    <w:p w:rsidR="00F92C12" w:rsidRDefault="00F92C12" w:rsidP="00BC160C">
      <w:pPr>
        <w:ind w:left="851" w:hanging="851"/>
        <w:jc w:val="center"/>
        <w:rPr>
          <w:rFonts w:cs="Arial"/>
          <w:sz w:val="24"/>
          <w:szCs w:val="24"/>
        </w:rPr>
      </w:pPr>
    </w:p>
    <w:p w:rsidR="0041730E" w:rsidRDefault="0041730E" w:rsidP="00C70245">
      <w:pPr>
        <w:jc w:val="left"/>
        <w:rPr>
          <w:sz w:val="24"/>
          <w:szCs w:val="24"/>
        </w:rPr>
      </w:pPr>
    </w:p>
    <w:p w:rsidR="0041730E" w:rsidRDefault="0041730E" w:rsidP="0041730E">
      <w:pPr>
        <w:ind w:left="851" w:hanging="851"/>
        <w:jc w:val="left"/>
        <w:rPr>
          <w:sz w:val="24"/>
          <w:szCs w:val="24"/>
        </w:rPr>
      </w:pPr>
      <w:r>
        <w:rPr>
          <w:sz w:val="24"/>
          <w:szCs w:val="24"/>
        </w:rPr>
        <w:t>3.6.2.</w:t>
      </w:r>
      <w:r w:rsidR="00C70245">
        <w:rPr>
          <w:sz w:val="24"/>
          <w:szCs w:val="24"/>
        </w:rPr>
        <w:t>2</w:t>
      </w:r>
      <w:r>
        <w:rPr>
          <w:sz w:val="24"/>
          <w:szCs w:val="24"/>
        </w:rPr>
        <w:tab/>
        <w:t xml:space="preserve">The proposed </w:t>
      </w:r>
      <w:r w:rsidR="00A96CE3">
        <w:rPr>
          <w:sz w:val="24"/>
          <w:szCs w:val="24"/>
        </w:rPr>
        <w:t xml:space="preserve">three year </w:t>
      </w:r>
      <w:r>
        <w:rPr>
          <w:sz w:val="24"/>
          <w:szCs w:val="24"/>
        </w:rPr>
        <w:t xml:space="preserve">programme </w:t>
      </w:r>
      <w:r w:rsidRPr="00A96CE3">
        <w:rPr>
          <w:sz w:val="24"/>
          <w:szCs w:val="24"/>
        </w:rPr>
        <w:t>includes new schemes</w:t>
      </w:r>
      <w:r w:rsidR="00A96CE3">
        <w:rPr>
          <w:sz w:val="24"/>
          <w:szCs w:val="24"/>
        </w:rPr>
        <w:t xml:space="preserve"> for improvements to the Palace Theatre and Mansfield Museum</w:t>
      </w:r>
      <w:r>
        <w:rPr>
          <w:sz w:val="24"/>
          <w:szCs w:val="24"/>
        </w:rPr>
        <w:t xml:space="preserve">, additions to the Planned Preventative Works PPW programme and the continuation of the Disability Access Works at Leisure Centres. </w:t>
      </w:r>
    </w:p>
    <w:p w:rsidR="00C70245" w:rsidRDefault="00C70245" w:rsidP="0041730E">
      <w:pPr>
        <w:ind w:left="851" w:hanging="851"/>
        <w:jc w:val="left"/>
        <w:rPr>
          <w:sz w:val="24"/>
          <w:szCs w:val="24"/>
        </w:rPr>
      </w:pPr>
    </w:p>
    <w:p w:rsidR="00C70245" w:rsidRDefault="00C70245" w:rsidP="00C70245">
      <w:pPr>
        <w:ind w:left="851" w:hanging="851"/>
        <w:jc w:val="left"/>
        <w:rPr>
          <w:sz w:val="24"/>
          <w:szCs w:val="24"/>
        </w:rPr>
      </w:pPr>
      <w:r w:rsidRPr="009762E4">
        <w:rPr>
          <w:sz w:val="24"/>
          <w:szCs w:val="24"/>
        </w:rPr>
        <w:t>3.</w:t>
      </w:r>
      <w:r>
        <w:rPr>
          <w:sz w:val="24"/>
          <w:szCs w:val="24"/>
        </w:rPr>
        <w:t>6.2.3</w:t>
      </w:r>
      <w:r w:rsidRPr="009762E4">
        <w:rPr>
          <w:sz w:val="24"/>
          <w:szCs w:val="24"/>
        </w:rPr>
        <w:tab/>
        <w:t xml:space="preserve">A breakdown of the individual </w:t>
      </w:r>
      <w:r>
        <w:rPr>
          <w:sz w:val="24"/>
          <w:szCs w:val="24"/>
        </w:rPr>
        <w:t xml:space="preserve">proposed </w:t>
      </w:r>
      <w:r w:rsidRPr="009762E4">
        <w:rPr>
          <w:sz w:val="24"/>
          <w:szCs w:val="24"/>
        </w:rPr>
        <w:t xml:space="preserve">capital schemes is provided in </w:t>
      </w:r>
      <w:r w:rsidRPr="00E33107">
        <w:rPr>
          <w:sz w:val="24"/>
          <w:szCs w:val="24"/>
        </w:rPr>
        <w:t xml:space="preserve">Appendix </w:t>
      </w:r>
      <w:r>
        <w:rPr>
          <w:sz w:val="24"/>
          <w:szCs w:val="24"/>
        </w:rPr>
        <w:t>4</w:t>
      </w:r>
      <w:r w:rsidRPr="00E33107">
        <w:rPr>
          <w:sz w:val="24"/>
          <w:szCs w:val="24"/>
        </w:rPr>
        <w:t xml:space="preserve"> of this report.</w:t>
      </w:r>
    </w:p>
    <w:p w:rsidR="000F0851" w:rsidRDefault="000F0851" w:rsidP="0041730E">
      <w:pPr>
        <w:ind w:left="851" w:hanging="851"/>
        <w:jc w:val="left"/>
        <w:rPr>
          <w:sz w:val="24"/>
          <w:szCs w:val="24"/>
        </w:rPr>
      </w:pPr>
    </w:p>
    <w:p w:rsidR="003233D5" w:rsidRPr="00E33107" w:rsidRDefault="003233D5" w:rsidP="0041730E">
      <w:pPr>
        <w:jc w:val="left"/>
        <w:rPr>
          <w:rFonts w:cs="Arial"/>
          <w:sz w:val="24"/>
          <w:szCs w:val="24"/>
        </w:rPr>
      </w:pPr>
    </w:p>
    <w:p w:rsidR="00BC160C" w:rsidRPr="00E33107" w:rsidRDefault="00BC160C" w:rsidP="006647A6">
      <w:pPr>
        <w:ind w:left="851" w:hanging="851"/>
        <w:jc w:val="left"/>
        <w:rPr>
          <w:rFonts w:cs="Arial"/>
          <w:b/>
          <w:sz w:val="24"/>
          <w:szCs w:val="24"/>
        </w:rPr>
      </w:pPr>
      <w:r w:rsidRPr="00E33107">
        <w:rPr>
          <w:rFonts w:cs="Arial"/>
          <w:sz w:val="24"/>
          <w:szCs w:val="24"/>
        </w:rPr>
        <w:t>3.</w:t>
      </w:r>
      <w:r w:rsidR="0017654C">
        <w:rPr>
          <w:rFonts w:cs="Arial"/>
          <w:sz w:val="24"/>
          <w:szCs w:val="24"/>
        </w:rPr>
        <w:t>6</w:t>
      </w:r>
      <w:r w:rsidRPr="00E33107">
        <w:rPr>
          <w:rFonts w:cs="Arial"/>
          <w:sz w:val="24"/>
          <w:szCs w:val="24"/>
        </w:rPr>
        <w:t>.3</w:t>
      </w:r>
      <w:r w:rsidRPr="00E33107">
        <w:rPr>
          <w:rFonts w:cs="Arial"/>
          <w:sz w:val="24"/>
          <w:szCs w:val="24"/>
        </w:rPr>
        <w:tab/>
      </w:r>
      <w:r w:rsidRPr="00E33107">
        <w:rPr>
          <w:rFonts w:cs="Arial"/>
          <w:b/>
          <w:sz w:val="24"/>
          <w:szCs w:val="24"/>
        </w:rPr>
        <w:t>Housing Revenue Account (HRA)</w:t>
      </w:r>
    </w:p>
    <w:p w:rsidR="00BC160C" w:rsidRPr="00E33107" w:rsidRDefault="00BC160C" w:rsidP="006647A6">
      <w:pPr>
        <w:ind w:left="851" w:hanging="851"/>
        <w:jc w:val="left"/>
        <w:rPr>
          <w:rFonts w:cs="Arial"/>
          <w:sz w:val="24"/>
          <w:szCs w:val="24"/>
        </w:rPr>
      </w:pPr>
    </w:p>
    <w:p w:rsidR="00BC160C" w:rsidRPr="00E33107" w:rsidRDefault="00BC160C" w:rsidP="006647A6">
      <w:pPr>
        <w:ind w:left="851" w:hanging="851"/>
        <w:jc w:val="left"/>
        <w:rPr>
          <w:rFonts w:cs="Arial"/>
          <w:sz w:val="24"/>
          <w:szCs w:val="24"/>
        </w:rPr>
      </w:pPr>
      <w:r w:rsidRPr="00E33107">
        <w:rPr>
          <w:rFonts w:cs="Arial"/>
          <w:sz w:val="24"/>
          <w:szCs w:val="24"/>
        </w:rPr>
        <w:t>3.</w:t>
      </w:r>
      <w:r w:rsidR="0017654C">
        <w:rPr>
          <w:rFonts w:cs="Arial"/>
          <w:sz w:val="24"/>
          <w:szCs w:val="24"/>
        </w:rPr>
        <w:t>6</w:t>
      </w:r>
      <w:r w:rsidRPr="00E33107">
        <w:rPr>
          <w:rFonts w:cs="Arial"/>
          <w:sz w:val="24"/>
          <w:szCs w:val="24"/>
        </w:rPr>
        <w:t>.3.1</w:t>
      </w:r>
      <w:r w:rsidRPr="00E33107">
        <w:rPr>
          <w:rFonts w:cs="Arial"/>
          <w:sz w:val="24"/>
          <w:szCs w:val="24"/>
        </w:rPr>
        <w:tab/>
        <w:t>The Housing Revenue Account Capital Programme reflects the expenditure to maintain the decency of the Councils housing stock and also to undertake other areas of general improvement. In addition to capital works on the existing housing stock and the completion of the current new build and conversion schemes the Council has approved a programme of new b</w:t>
      </w:r>
      <w:r w:rsidR="004C75D6">
        <w:rPr>
          <w:rFonts w:cs="Arial"/>
          <w:sz w:val="24"/>
          <w:szCs w:val="24"/>
        </w:rPr>
        <w:t>uild schemes</w:t>
      </w:r>
      <w:r w:rsidRPr="00E33107">
        <w:rPr>
          <w:rFonts w:cs="Arial"/>
          <w:sz w:val="24"/>
          <w:szCs w:val="24"/>
        </w:rPr>
        <w:t>.</w:t>
      </w:r>
    </w:p>
    <w:p w:rsidR="00BC160C" w:rsidRPr="00E33107" w:rsidRDefault="00BC160C" w:rsidP="006647A6">
      <w:pPr>
        <w:ind w:left="851" w:hanging="851"/>
        <w:jc w:val="left"/>
        <w:rPr>
          <w:rFonts w:cs="Arial"/>
          <w:sz w:val="24"/>
          <w:szCs w:val="24"/>
        </w:rPr>
      </w:pPr>
      <w:r w:rsidRPr="00E33107">
        <w:rPr>
          <w:rFonts w:cs="Arial"/>
          <w:sz w:val="24"/>
          <w:szCs w:val="24"/>
        </w:rPr>
        <w:tab/>
      </w:r>
    </w:p>
    <w:p w:rsidR="00BC160C" w:rsidRDefault="00BC160C" w:rsidP="006647A6">
      <w:pPr>
        <w:ind w:left="851" w:hanging="851"/>
        <w:jc w:val="left"/>
        <w:rPr>
          <w:rFonts w:cs="Arial"/>
          <w:sz w:val="24"/>
          <w:szCs w:val="24"/>
        </w:rPr>
      </w:pPr>
      <w:r w:rsidRPr="00E33107">
        <w:rPr>
          <w:rFonts w:cs="Arial"/>
          <w:sz w:val="24"/>
          <w:szCs w:val="24"/>
        </w:rPr>
        <w:t>3.</w:t>
      </w:r>
      <w:r w:rsidR="0017654C">
        <w:rPr>
          <w:rFonts w:cs="Arial"/>
          <w:sz w:val="24"/>
          <w:szCs w:val="24"/>
        </w:rPr>
        <w:t>6</w:t>
      </w:r>
      <w:r w:rsidRPr="00E33107">
        <w:rPr>
          <w:rFonts w:cs="Arial"/>
          <w:sz w:val="24"/>
          <w:szCs w:val="24"/>
        </w:rPr>
        <w:t>.3.2</w:t>
      </w:r>
      <w:r w:rsidRPr="00E33107">
        <w:rPr>
          <w:rFonts w:cs="Arial"/>
          <w:sz w:val="24"/>
          <w:szCs w:val="24"/>
        </w:rPr>
        <w:tab/>
        <w:t xml:space="preserve">Table </w:t>
      </w:r>
      <w:r w:rsidR="00755F99">
        <w:rPr>
          <w:rFonts w:cs="Arial"/>
          <w:sz w:val="24"/>
          <w:szCs w:val="24"/>
        </w:rPr>
        <w:t>4</w:t>
      </w:r>
      <w:r w:rsidR="002E36DD" w:rsidRPr="00E33107">
        <w:rPr>
          <w:rFonts w:cs="Arial"/>
          <w:sz w:val="24"/>
          <w:szCs w:val="24"/>
        </w:rPr>
        <w:t xml:space="preserve"> </w:t>
      </w:r>
      <w:r w:rsidRPr="00E33107">
        <w:rPr>
          <w:rFonts w:cs="Arial"/>
          <w:sz w:val="24"/>
          <w:szCs w:val="24"/>
        </w:rPr>
        <w:t xml:space="preserve">below shows the </w:t>
      </w:r>
      <w:r w:rsidR="00BB22BA">
        <w:rPr>
          <w:rFonts w:cs="Arial"/>
          <w:sz w:val="24"/>
          <w:szCs w:val="24"/>
        </w:rPr>
        <w:t>proposed</w:t>
      </w:r>
      <w:r w:rsidRPr="00E33107">
        <w:rPr>
          <w:rFonts w:cs="Arial"/>
          <w:sz w:val="24"/>
          <w:szCs w:val="24"/>
        </w:rPr>
        <w:t xml:space="preserve"> </w:t>
      </w:r>
      <w:r w:rsidR="00BB6240">
        <w:rPr>
          <w:rFonts w:cs="Arial"/>
          <w:sz w:val="24"/>
          <w:szCs w:val="24"/>
        </w:rPr>
        <w:t xml:space="preserve">additions to the </w:t>
      </w:r>
      <w:r w:rsidRPr="00E33107">
        <w:rPr>
          <w:rFonts w:cs="Arial"/>
          <w:sz w:val="24"/>
          <w:szCs w:val="24"/>
        </w:rPr>
        <w:t>Housing Revenue Account</w:t>
      </w:r>
      <w:r w:rsidRPr="00F62A2B">
        <w:rPr>
          <w:rFonts w:cs="Arial"/>
          <w:sz w:val="24"/>
          <w:szCs w:val="24"/>
        </w:rPr>
        <w:t xml:space="preserve"> Capital Programme</w:t>
      </w:r>
      <w:r w:rsidR="00B8719C">
        <w:rPr>
          <w:rFonts w:cs="Arial"/>
          <w:sz w:val="24"/>
          <w:szCs w:val="24"/>
        </w:rPr>
        <w:t>, based on the 30 year HRA Business Plan,</w:t>
      </w:r>
      <w:r>
        <w:rPr>
          <w:rFonts w:cs="Arial"/>
          <w:sz w:val="24"/>
          <w:szCs w:val="24"/>
        </w:rPr>
        <w:t xml:space="preserve"> for the next three years from 202</w:t>
      </w:r>
      <w:r w:rsidR="0097075D">
        <w:rPr>
          <w:rFonts w:cs="Arial"/>
          <w:sz w:val="24"/>
          <w:szCs w:val="24"/>
        </w:rPr>
        <w:t>3</w:t>
      </w:r>
      <w:r>
        <w:rPr>
          <w:rFonts w:cs="Arial"/>
          <w:sz w:val="24"/>
          <w:szCs w:val="24"/>
        </w:rPr>
        <w:t>/2</w:t>
      </w:r>
      <w:r w:rsidR="0097075D">
        <w:rPr>
          <w:rFonts w:cs="Arial"/>
          <w:sz w:val="24"/>
          <w:szCs w:val="24"/>
        </w:rPr>
        <w:t>4</w:t>
      </w:r>
      <w:r>
        <w:rPr>
          <w:rFonts w:cs="Arial"/>
          <w:sz w:val="24"/>
          <w:szCs w:val="24"/>
        </w:rPr>
        <w:t xml:space="preserve"> </w:t>
      </w:r>
      <w:r w:rsidRPr="002302AB">
        <w:rPr>
          <w:rFonts w:cs="Arial"/>
          <w:sz w:val="24"/>
          <w:szCs w:val="24"/>
        </w:rPr>
        <w:t xml:space="preserve">to </w:t>
      </w:r>
      <w:r>
        <w:rPr>
          <w:rFonts w:cs="Arial"/>
          <w:sz w:val="24"/>
          <w:szCs w:val="24"/>
        </w:rPr>
        <w:t>202</w:t>
      </w:r>
      <w:r w:rsidR="0097075D">
        <w:rPr>
          <w:rFonts w:cs="Arial"/>
          <w:sz w:val="24"/>
          <w:szCs w:val="24"/>
        </w:rPr>
        <w:t>5</w:t>
      </w:r>
      <w:r>
        <w:rPr>
          <w:rFonts w:cs="Arial"/>
          <w:sz w:val="24"/>
          <w:szCs w:val="24"/>
        </w:rPr>
        <w:t>/2</w:t>
      </w:r>
      <w:r w:rsidR="0097075D">
        <w:rPr>
          <w:rFonts w:cs="Arial"/>
          <w:sz w:val="24"/>
          <w:szCs w:val="24"/>
        </w:rPr>
        <w:t>6</w:t>
      </w:r>
      <w:r w:rsidR="0042101C">
        <w:rPr>
          <w:rFonts w:cs="Arial"/>
          <w:sz w:val="24"/>
          <w:szCs w:val="24"/>
        </w:rPr>
        <w:t xml:space="preserve"> </w:t>
      </w:r>
      <w:r>
        <w:rPr>
          <w:rFonts w:cs="Arial"/>
          <w:sz w:val="24"/>
          <w:szCs w:val="24"/>
        </w:rPr>
        <w:t>together with the sources of funding.</w:t>
      </w:r>
    </w:p>
    <w:p w:rsidR="00F92C12" w:rsidRDefault="00F92C12" w:rsidP="001A0528">
      <w:pPr>
        <w:rPr>
          <w:rFonts w:cs="Arial"/>
          <w:b/>
          <w:sz w:val="24"/>
          <w:szCs w:val="24"/>
        </w:rPr>
      </w:pPr>
    </w:p>
    <w:p w:rsidR="00F0321D" w:rsidRDefault="00F0321D" w:rsidP="00F0321D">
      <w:pPr>
        <w:jc w:val="center"/>
        <w:rPr>
          <w:rFonts w:cs="Arial"/>
          <w:b/>
          <w:sz w:val="24"/>
          <w:szCs w:val="24"/>
        </w:rPr>
      </w:pPr>
      <w:r w:rsidRPr="00F0321D">
        <w:rPr>
          <w:rFonts w:cs="Arial"/>
          <w:b/>
          <w:sz w:val="24"/>
          <w:szCs w:val="24"/>
        </w:rPr>
        <w:t>Table 4</w:t>
      </w:r>
    </w:p>
    <w:p w:rsidR="00F92C12" w:rsidRPr="00F0321D" w:rsidRDefault="00F92C12" w:rsidP="00F0321D">
      <w:pPr>
        <w:jc w:val="center"/>
        <w:rPr>
          <w:rFonts w:cs="Arial"/>
          <w:b/>
          <w:sz w:val="24"/>
          <w:szCs w:val="24"/>
        </w:rPr>
      </w:pPr>
    </w:p>
    <w:p w:rsidR="00BC160C" w:rsidRDefault="00F92C12" w:rsidP="004E3526">
      <w:pPr>
        <w:jc w:val="center"/>
        <w:rPr>
          <w:rFonts w:cs="Arial"/>
          <w:sz w:val="24"/>
          <w:szCs w:val="24"/>
        </w:rPr>
      </w:pPr>
      <w:r w:rsidRPr="00F92C12">
        <w:rPr>
          <w:noProof/>
        </w:rPr>
        <w:drawing>
          <wp:inline distT="0" distB="0" distL="0" distR="0" wp14:anchorId="50231052" wp14:editId="16350993">
            <wp:extent cx="4351020" cy="2735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1020" cy="2735580"/>
                    </a:xfrm>
                    <a:prstGeom prst="rect">
                      <a:avLst/>
                    </a:prstGeom>
                    <a:noFill/>
                    <a:ln>
                      <a:noFill/>
                    </a:ln>
                  </pic:spPr>
                </pic:pic>
              </a:graphicData>
            </a:graphic>
          </wp:inline>
        </w:drawing>
      </w:r>
    </w:p>
    <w:p w:rsidR="00DE657C" w:rsidRDefault="00DE657C" w:rsidP="006647A6">
      <w:pPr>
        <w:jc w:val="left"/>
        <w:rPr>
          <w:rFonts w:cs="Arial"/>
          <w:sz w:val="24"/>
          <w:szCs w:val="24"/>
        </w:rPr>
      </w:pPr>
    </w:p>
    <w:p w:rsidR="00C14F0A" w:rsidRPr="002F0DAE" w:rsidRDefault="00C14F0A" w:rsidP="006647A6">
      <w:pPr>
        <w:jc w:val="left"/>
        <w:rPr>
          <w:rFonts w:cs="Arial"/>
          <w:sz w:val="24"/>
          <w:szCs w:val="24"/>
        </w:rPr>
      </w:pPr>
    </w:p>
    <w:p w:rsidR="00C14F0A" w:rsidRDefault="00BC160C" w:rsidP="00FE6BE2">
      <w:pPr>
        <w:ind w:left="851" w:hanging="851"/>
        <w:jc w:val="left"/>
        <w:rPr>
          <w:sz w:val="24"/>
          <w:szCs w:val="24"/>
        </w:rPr>
      </w:pPr>
      <w:r>
        <w:rPr>
          <w:sz w:val="24"/>
          <w:szCs w:val="24"/>
        </w:rPr>
        <w:t>3.</w:t>
      </w:r>
      <w:r w:rsidR="0017654C">
        <w:rPr>
          <w:sz w:val="24"/>
          <w:szCs w:val="24"/>
        </w:rPr>
        <w:t>6</w:t>
      </w:r>
      <w:r>
        <w:rPr>
          <w:sz w:val="24"/>
          <w:szCs w:val="24"/>
        </w:rPr>
        <w:t>.3.3</w:t>
      </w:r>
      <w:r>
        <w:rPr>
          <w:sz w:val="24"/>
          <w:szCs w:val="24"/>
        </w:rPr>
        <w:tab/>
      </w:r>
      <w:r w:rsidRPr="009762E4">
        <w:rPr>
          <w:sz w:val="24"/>
          <w:szCs w:val="24"/>
        </w:rPr>
        <w:t xml:space="preserve">A breakdown of the </w:t>
      </w:r>
      <w:r w:rsidRPr="00E33107">
        <w:rPr>
          <w:sz w:val="24"/>
          <w:szCs w:val="24"/>
        </w:rPr>
        <w:t xml:space="preserve">individual capital schemes is provided in </w:t>
      </w:r>
      <w:r w:rsidR="002E36DD" w:rsidRPr="00E33107">
        <w:rPr>
          <w:sz w:val="24"/>
          <w:szCs w:val="24"/>
        </w:rPr>
        <w:t>A</w:t>
      </w:r>
      <w:r w:rsidRPr="00E33107">
        <w:rPr>
          <w:sz w:val="24"/>
          <w:szCs w:val="24"/>
        </w:rPr>
        <w:t xml:space="preserve">ppendix </w:t>
      </w:r>
      <w:r w:rsidR="00755F99">
        <w:rPr>
          <w:sz w:val="24"/>
          <w:szCs w:val="24"/>
        </w:rPr>
        <w:t>5</w:t>
      </w:r>
      <w:r w:rsidRPr="00E33107">
        <w:rPr>
          <w:sz w:val="24"/>
          <w:szCs w:val="24"/>
        </w:rPr>
        <w:t xml:space="preserve"> of this report.</w:t>
      </w:r>
    </w:p>
    <w:p w:rsidR="00FE6BE2" w:rsidRDefault="00FE6BE2" w:rsidP="00FE6BE2">
      <w:pPr>
        <w:ind w:left="851" w:hanging="851"/>
        <w:jc w:val="left"/>
        <w:rPr>
          <w:rFonts w:cs="Arial"/>
          <w:sz w:val="24"/>
          <w:szCs w:val="24"/>
        </w:rPr>
      </w:pPr>
    </w:p>
    <w:p w:rsidR="00285CCE" w:rsidRPr="00656AD3" w:rsidRDefault="00285CCE" w:rsidP="00BC160C">
      <w:pPr>
        <w:ind w:left="851" w:hanging="851"/>
        <w:jc w:val="left"/>
        <w:rPr>
          <w:sz w:val="24"/>
          <w:szCs w:val="24"/>
        </w:rPr>
      </w:pPr>
    </w:p>
    <w:p w:rsidR="0023747F" w:rsidRPr="00656AD3" w:rsidRDefault="003D546F" w:rsidP="0073669D">
      <w:pPr>
        <w:ind w:left="851" w:hanging="851"/>
        <w:jc w:val="left"/>
        <w:outlineLvl w:val="0"/>
        <w:rPr>
          <w:b/>
          <w:sz w:val="24"/>
          <w:szCs w:val="24"/>
        </w:rPr>
      </w:pPr>
      <w:r w:rsidRPr="00656AD3">
        <w:rPr>
          <w:b/>
          <w:sz w:val="24"/>
          <w:szCs w:val="24"/>
        </w:rPr>
        <w:t>3.</w:t>
      </w:r>
      <w:r w:rsidR="0017654C">
        <w:rPr>
          <w:b/>
          <w:sz w:val="24"/>
          <w:szCs w:val="24"/>
        </w:rPr>
        <w:t>7</w:t>
      </w:r>
      <w:r w:rsidRPr="00656AD3">
        <w:rPr>
          <w:b/>
          <w:sz w:val="24"/>
          <w:szCs w:val="24"/>
        </w:rPr>
        <w:tab/>
      </w:r>
      <w:r w:rsidR="0023747F" w:rsidRPr="00656AD3">
        <w:rPr>
          <w:b/>
          <w:sz w:val="24"/>
          <w:szCs w:val="24"/>
        </w:rPr>
        <w:t>Consultation</w:t>
      </w:r>
    </w:p>
    <w:p w:rsidR="00FB33F3" w:rsidRPr="00656AD3" w:rsidRDefault="00FB33F3" w:rsidP="0073669D">
      <w:pPr>
        <w:ind w:left="851" w:hanging="851"/>
        <w:jc w:val="left"/>
        <w:rPr>
          <w:sz w:val="24"/>
          <w:szCs w:val="24"/>
        </w:rPr>
      </w:pPr>
    </w:p>
    <w:p w:rsidR="003E6D22" w:rsidRPr="00991A0D" w:rsidRDefault="00AE466C" w:rsidP="003E6D22">
      <w:pPr>
        <w:ind w:left="851" w:hanging="851"/>
        <w:jc w:val="left"/>
        <w:rPr>
          <w:sz w:val="24"/>
          <w:szCs w:val="24"/>
        </w:rPr>
      </w:pPr>
      <w:r w:rsidRPr="00656AD3">
        <w:rPr>
          <w:sz w:val="24"/>
          <w:szCs w:val="24"/>
        </w:rPr>
        <w:t>3.</w:t>
      </w:r>
      <w:r w:rsidR="0017654C">
        <w:rPr>
          <w:sz w:val="24"/>
          <w:szCs w:val="24"/>
        </w:rPr>
        <w:t>7</w:t>
      </w:r>
      <w:r w:rsidRPr="00656AD3">
        <w:rPr>
          <w:sz w:val="24"/>
          <w:szCs w:val="24"/>
        </w:rPr>
        <w:t>.1</w:t>
      </w:r>
      <w:r w:rsidRPr="00656AD3">
        <w:rPr>
          <w:sz w:val="24"/>
          <w:szCs w:val="24"/>
        </w:rPr>
        <w:tab/>
      </w:r>
      <w:r w:rsidR="003E6D22" w:rsidRPr="00991A0D">
        <w:rPr>
          <w:sz w:val="24"/>
          <w:szCs w:val="24"/>
        </w:rPr>
        <w:t xml:space="preserve">The budgets contained within this budget report have been subject to consultation with Overview and Scrutiny Committee (Corporate).  Further information supporting the budgets was made available to Overview and Scrutiny Committee (Corporate) to support them in their role.  A copy of their feedback report, which </w:t>
      </w:r>
      <w:r w:rsidR="003E6D22">
        <w:rPr>
          <w:sz w:val="24"/>
          <w:szCs w:val="24"/>
        </w:rPr>
        <w:t>was presented to Cabinet on 12 December 2022</w:t>
      </w:r>
      <w:r w:rsidR="003E6D22" w:rsidRPr="00991A0D">
        <w:rPr>
          <w:sz w:val="24"/>
          <w:szCs w:val="24"/>
        </w:rPr>
        <w:t>, can be found at Appendix 7, along with Cabinet’s response which was presented to Overview and Scr</w:t>
      </w:r>
      <w:r w:rsidR="003E6D22">
        <w:rPr>
          <w:sz w:val="24"/>
          <w:szCs w:val="24"/>
        </w:rPr>
        <w:t>utiny Committee (Corporate) on 4</w:t>
      </w:r>
      <w:r w:rsidR="003E6D22" w:rsidRPr="00991A0D">
        <w:rPr>
          <w:sz w:val="24"/>
          <w:szCs w:val="24"/>
        </w:rPr>
        <w:t xml:space="preserve"> Jan</w:t>
      </w:r>
      <w:r w:rsidR="003E6D22">
        <w:rPr>
          <w:sz w:val="24"/>
          <w:szCs w:val="24"/>
        </w:rPr>
        <w:t>uary 2023</w:t>
      </w:r>
      <w:r w:rsidR="003E6D22" w:rsidRPr="00991A0D">
        <w:rPr>
          <w:sz w:val="24"/>
          <w:szCs w:val="24"/>
        </w:rPr>
        <w:t>, which can be found at Appendix 8.</w:t>
      </w:r>
    </w:p>
    <w:p w:rsidR="003E6D22" w:rsidRPr="00991A0D" w:rsidRDefault="003E6D22" w:rsidP="003E6D22">
      <w:pPr>
        <w:jc w:val="left"/>
        <w:rPr>
          <w:sz w:val="24"/>
          <w:szCs w:val="24"/>
        </w:rPr>
      </w:pPr>
    </w:p>
    <w:p w:rsidR="003E6D22" w:rsidRPr="00DE657C" w:rsidRDefault="003E6D22" w:rsidP="003E6D22">
      <w:pPr>
        <w:ind w:left="851" w:hanging="851"/>
        <w:jc w:val="left"/>
        <w:rPr>
          <w:sz w:val="24"/>
          <w:szCs w:val="24"/>
        </w:rPr>
      </w:pPr>
      <w:r w:rsidRPr="00991A0D">
        <w:rPr>
          <w:sz w:val="24"/>
          <w:szCs w:val="24"/>
        </w:rPr>
        <w:t>3.7.2</w:t>
      </w:r>
      <w:r w:rsidRPr="00991A0D">
        <w:rPr>
          <w:sz w:val="24"/>
          <w:szCs w:val="24"/>
        </w:rPr>
        <w:tab/>
        <w:t>Following feedback from this consultation Cabinet will make recommendations to Council on 2</w:t>
      </w:r>
      <w:r>
        <w:rPr>
          <w:sz w:val="24"/>
          <w:szCs w:val="24"/>
        </w:rPr>
        <w:t>4 January</w:t>
      </w:r>
      <w:r w:rsidRPr="00991A0D">
        <w:rPr>
          <w:sz w:val="24"/>
          <w:szCs w:val="24"/>
        </w:rPr>
        <w:t xml:space="preserve"> 202</w:t>
      </w:r>
      <w:r>
        <w:rPr>
          <w:sz w:val="24"/>
          <w:szCs w:val="24"/>
        </w:rPr>
        <w:t>3</w:t>
      </w:r>
      <w:r w:rsidRPr="00991A0D">
        <w:rPr>
          <w:sz w:val="24"/>
          <w:szCs w:val="24"/>
        </w:rPr>
        <w:t xml:space="preserve"> for the approval of the budgets and the level of Council Tax to be set for 202</w:t>
      </w:r>
      <w:r>
        <w:rPr>
          <w:sz w:val="24"/>
          <w:szCs w:val="24"/>
        </w:rPr>
        <w:t>3</w:t>
      </w:r>
      <w:r w:rsidRPr="00991A0D">
        <w:rPr>
          <w:sz w:val="24"/>
          <w:szCs w:val="24"/>
        </w:rPr>
        <w:t>/2</w:t>
      </w:r>
      <w:r>
        <w:rPr>
          <w:sz w:val="24"/>
          <w:szCs w:val="24"/>
        </w:rPr>
        <w:t>4</w:t>
      </w:r>
      <w:r w:rsidRPr="00991A0D">
        <w:rPr>
          <w:sz w:val="24"/>
          <w:szCs w:val="24"/>
        </w:rPr>
        <w:t>.</w:t>
      </w:r>
    </w:p>
    <w:p w:rsidR="00AE466C" w:rsidRPr="00DE657C" w:rsidRDefault="00AE466C" w:rsidP="003E6D22">
      <w:pPr>
        <w:ind w:left="851" w:hanging="851"/>
        <w:jc w:val="left"/>
        <w:rPr>
          <w:sz w:val="24"/>
          <w:szCs w:val="24"/>
        </w:rPr>
      </w:pPr>
    </w:p>
    <w:p w:rsidR="00AE466C" w:rsidRPr="00DE657C" w:rsidRDefault="00AE466C" w:rsidP="0073669D">
      <w:pPr>
        <w:ind w:left="851" w:hanging="851"/>
        <w:jc w:val="left"/>
        <w:rPr>
          <w:sz w:val="24"/>
          <w:szCs w:val="24"/>
        </w:rPr>
      </w:pPr>
      <w:r w:rsidRPr="00DE657C">
        <w:rPr>
          <w:sz w:val="24"/>
          <w:szCs w:val="24"/>
        </w:rPr>
        <w:t>3.</w:t>
      </w:r>
      <w:r w:rsidR="0017654C" w:rsidRPr="00DE657C">
        <w:rPr>
          <w:sz w:val="24"/>
          <w:szCs w:val="24"/>
        </w:rPr>
        <w:t>7</w:t>
      </w:r>
      <w:r w:rsidRPr="00DE657C">
        <w:rPr>
          <w:sz w:val="24"/>
          <w:szCs w:val="24"/>
        </w:rPr>
        <w:t>.</w:t>
      </w:r>
      <w:r w:rsidR="00AA09B7" w:rsidRPr="00DE657C">
        <w:rPr>
          <w:sz w:val="24"/>
          <w:szCs w:val="24"/>
        </w:rPr>
        <w:t>3</w:t>
      </w:r>
      <w:r w:rsidRPr="00DE657C">
        <w:rPr>
          <w:sz w:val="24"/>
          <w:szCs w:val="24"/>
        </w:rPr>
        <w:tab/>
        <w:t>Consultation on specific proposals will take place with the public and other relevant stakeholders</w:t>
      </w:r>
      <w:r w:rsidR="00A43150" w:rsidRPr="00DE657C">
        <w:rPr>
          <w:sz w:val="24"/>
          <w:szCs w:val="24"/>
        </w:rPr>
        <w:t>, including the Unions</w:t>
      </w:r>
      <w:r w:rsidR="00D436C8" w:rsidRPr="00DE657C">
        <w:rPr>
          <w:sz w:val="24"/>
          <w:szCs w:val="24"/>
        </w:rPr>
        <w:t>,</w:t>
      </w:r>
      <w:r w:rsidR="00A43150" w:rsidRPr="00DE657C">
        <w:rPr>
          <w:sz w:val="24"/>
          <w:szCs w:val="24"/>
        </w:rPr>
        <w:t xml:space="preserve"> where proposed savings affect staffing and working practices</w:t>
      </w:r>
      <w:r w:rsidRPr="00DE657C">
        <w:rPr>
          <w:sz w:val="24"/>
          <w:szCs w:val="24"/>
        </w:rPr>
        <w:t>.</w:t>
      </w:r>
    </w:p>
    <w:p w:rsidR="008C6DB1" w:rsidRPr="00DE657C" w:rsidRDefault="008C6DB1" w:rsidP="0073669D">
      <w:pPr>
        <w:ind w:left="851" w:hanging="851"/>
        <w:jc w:val="left"/>
        <w:rPr>
          <w:sz w:val="24"/>
          <w:szCs w:val="24"/>
        </w:rPr>
      </w:pPr>
    </w:p>
    <w:p w:rsidR="00AE466C" w:rsidRPr="00656AD3" w:rsidRDefault="00AE466C" w:rsidP="0073669D">
      <w:pPr>
        <w:ind w:left="851" w:hanging="851"/>
        <w:jc w:val="left"/>
        <w:rPr>
          <w:sz w:val="24"/>
          <w:szCs w:val="24"/>
        </w:rPr>
      </w:pPr>
      <w:r w:rsidRPr="00DE657C">
        <w:rPr>
          <w:sz w:val="24"/>
          <w:szCs w:val="24"/>
        </w:rPr>
        <w:t>3.</w:t>
      </w:r>
      <w:r w:rsidR="0017654C" w:rsidRPr="00DE657C">
        <w:rPr>
          <w:sz w:val="24"/>
          <w:szCs w:val="24"/>
        </w:rPr>
        <w:t>7</w:t>
      </w:r>
      <w:r w:rsidRPr="00DE657C">
        <w:rPr>
          <w:sz w:val="24"/>
          <w:szCs w:val="24"/>
        </w:rPr>
        <w:t>.</w:t>
      </w:r>
      <w:r w:rsidR="0017654C" w:rsidRPr="00DE657C">
        <w:rPr>
          <w:sz w:val="24"/>
          <w:szCs w:val="24"/>
        </w:rPr>
        <w:t>4</w:t>
      </w:r>
      <w:r w:rsidRPr="00DE657C">
        <w:rPr>
          <w:sz w:val="24"/>
          <w:szCs w:val="24"/>
        </w:rPr>
        <w:tab/>
        <w:t>Where necessary, Equality Impact Assessments will be undertaken on individual budget proposals and the impact on the budget overall, together with actions to mitigate any inequalities identified as a result of these assessments.</w:t>
      </w:r>
    </w:p>
    <w:p w:rsidR="00443A5C" w:rsidRDefault="00443A5C" w:rsidP="00150A55">
      <w:pPr>
        <w:jc w:val="left"/>
        <w:rPr>
          <w:b/>
          <w:sz w:val="24"/>
          <w:szCs w:val="24"/>
        </w:rPr>
      </w:pPr>
    </w:p>
    <w:p w:rsidR="00443A5C" w:rsidRPr="00656AD3" w:rsidRDefault="00443A5C" w:rsidP="0073669D">
      <w:pPr>
        <w:ind w:left="851" w:hanging="851"/>
        <w:jc w:val="left"/>
        <w:rPr>
          <w:b/>
          <w:sz w:val="24"/>
          <w:szCs w:val="24"/>
        </w:rPr>
      </w:pPr>
    </w:p>
    <w:p w:rsidR="0023747F" w:rsidRPr="00656AD3" w:rsidRDefault="00495589" w:rsidP="0073669D">
      <w:pPr>
        <w:ind w:left="851" w:hanging="851"/>
        <w:jc w:val="left"/>
        <w:outlineLvl w:val="0"/>
        <w:rPr>
          <w:b/>
          <w:sz w:val="24"/>
          <w:szCs w:val="24"/>
        </w:rPr>
      </w:pPr>
      <w:r w:rsidRPr="00656AD3">
        <w:rPr>
          <w:b/>
          <w:sz w:val="24"/>
          <w:szCs w:val="24"/>
        </w:rPr>
        <w:t>3.</w:t>
      </w:r>
      <w:r w:rsidR="0017654C">
        <w:rPr>
          <w:b/>
          <w:sz w:val="24"/>
          <w:szCs w:val="24"/>
        </w:rPr>
        <w:t>8</w:t>
      </w:r>
      <w:r w:rsidR="0023747F" w:rsidRPr="00656AD3">
        <w:rPr>
          <w:b/>
          <w:sz w:val="24"/>
          <w:szCs w:val="24"/>
        </w:rPr>
        <w:tab/>
        <w:t>Next Steps</w:t>
      </w:r>
    </w:p>
    <w:p w:rsidR="00AE466C" w:rsidRPr="00656AD3" w:rsidRDefault="00AE466C" w:rsidP="0073669D">
      <w:pPr>
        <w:ind w:left="851" w:hanging="851"/>
        <w:jc w:val="left"/>
        <w:outlineLvl w:val="0"/>
        <w:rPr>
          <w:b/>
          <w:sz w:val="24"/>
          <w:szCs w:val="24"/>
        </w:rPr>
      </w:pPr>
    </w:p>
    <w:p w:rsidR="00AE466C" w:rsidRPr="00656AD3" w:rsidRDefault="00AE466C" w:rsidP="00990FB6">
      <w:pPr>
        <w:ind w:left="851" w:hanging="131"/>
        <w:jc w:val="left"/>
        <w:rPr>
          <w:sz w:val="24"/>
          <w:szCs w:val="24"/>
        </w:rPr>
      </w:pPr>
      <w:r w:rsidRPr="00656AD3">
        <w:rPr>
          <w:sz w:val="24"/>
          <w:szCs w:val="24"/>
        </w:rPr>
        <w:t>Timetable for reports:</w:t>
      </w:r>
    </w:p>
    <w:p w:rsidR="00AE466C" w:rsidRPr="00656AD3" w:rsidRDefault="00AE466C" w:rsidP="0073669D">
      <w:pPr>
        <w:ind w:left="851" w:hanging="851"/>
        <w:jc w:val="left"/>
        <w:rPr>
          <w:sz w:val="24"/>
          <w:szCs w:val="24"/>
        </w:rPr>
      </w:pPr>
    </w:p>
    <w:p w:rsidR="003D2C58" w:rsidRPr="00F37783" w:rsidRDefault="00ED0966" w:rsidP="00C54396">
      <w:pPr>
        <w:pStyle w:val="ListParagraph"/>
        <w:numPr>
          <w:ilvl w:val="0"/>
          <w:numId w:val="4"/>
        </w:numPr>
        <w:rPr>
          <w:rFonts w:ascii="Arial" w:eastAsia="Times New Roman" w:hAnsi="Arial"/>
          <w:sz w:val="24"/>
          <w:szCs w:val="24"/>
          <w:lang w:eastAsia="en-GB"/>
        </w:rPr>
      </w:pPr>
      <w:r w:rsidRPr="00F37783">
        <w:rPr>
          <w:rFonts w:ascii="Arial" w:eastAsia="Times New Roman" w:hAnsi="Arial"/>
          <w:sz w:val="24"/>
          <w:szCs w:val="24"/>
          <w:lang w:eastAsia="en-GB"/>
        </w:rPr>
        <w:t xml:space="preserve">Cabinet </w:t>
      </w:r>
      <w:r w:rsidR="0097075D">
        <w:rPr>
          <w:rFonts w:ascii="Arial" w:eastAsia="Times New Roman" w:hAnsi="Arial"/>
          <w:sz w:val="24"/>
          <w:szCs w:val="24"/>
          <w:lang w:eastAsia="en-GB"/>
        </w:rPr>
        <w:t>31</w:t>
      </w:r>
      <w:r w:rsidR="0097075D" w:rsidRPr="0097075D">
        <w:rPr>
          <w:rFonts w:ascii="Arial" w:eastAsia="Times New Roman" w:hAnsi="Arial"/>
          <w:sz w:val="24"/>
          <w:szCs w:val="24"/>
          <w:vertAlign w:val="superscript"/>
          <w:lang w:eastAsia="en-GB"/>
        </w:rPr>
        <w:t>st</w:t>
      </w:r>
      <w:r w:rsidR="0097075D">
        <w:rPr>
          <w:rFonts w:ascii="Arial" w:eastAsia="Times New Roman" w:hAnsi="Arial"/>
          <w:sz w:val="24"/>
          <w:szCs w:val="24"/>
          <w:lang w:eastAsia="en-GB"/>
        </w:rPr>
        <w:t xml:space="preserve"> October</w:t>
      </w:r>
      <w:r w:rsidR="003D2C58" w:rsidRPr="00F37783">
        <w:rPr>
          <w:rFonts w:ascii="Arial" w:eastAsia="Times New Roman" w:hAnsi="Arial"/>
          <w:sz w:val="24"/>
          <w:szCs w:val="24"/>
          <w:lang w:eastAsia="en-GB"/>
        </w:rPr>
        <w:t xml:space="preserve"> – Portfolio Holder to present budget </w:t>
      </w:r>
    </w:p>
    <w:p w:rsidR="003D2C58" w:rsidRPr="00F37783" w:rsidRDefault="00ED0966" w:rsidP="00C54396">
      <w:pPr>
        <w:pStyle w:val="ListParagraph"/>
        <w:numPr>
          <w:ilvl w:val="0"/>
          <w:numId w:val="4"/>
        </w:numPr>
        <w:rPr>
          <w:rFonts w:ascii="Arial" w:eastAsia="Times New Roman" w:hAnsi="Arial"/>
          <w:sz w:val="24"/>
          <w:szCs w:val="24"/>
          <w:lang w:eastAsia="en-GB"/>
        </w:rPr>
      </w:pPr>
      <w:r w:rsidRPr="00F37783">
        <w:rPr>
          <w:rFonts w:ascii="Arial" w:hAnsi="Arial"/>
          <w:sz w:val="24"/>
          <w:szCs w:val="24"/>
        </w:rPr>
        <w:t xml:space="preserve">OSC </w:t>
      </w:r>
      <w:r w:rsidR="00F24AAD">
        <w:rPr>
          <w:rFonts w:ascii="Arial" w:hAnsi="Arial"/>
          <w:sz w:val="24"/>
          <w:szCs w:val="24"/>
        </w:rPr>
        <w:t xml:space="preserve">Corporate </w:t>
      </w:r>
      <w:r w:rsidRPr="00F37783">
        <w:rPr>
          <w:rFonts w:ascii="Arial" w:hAnsi="Arial"/>
          <w:sz w:val="24"/>
          <w:szCs w:val="24"/>
        </w:rPr>
        <w:t xml:space="preserve">from </w:t>
      </w:r>
      <w:r w:rsidR="0097075D">
        <w:rPr>
          <w:rFonts w:ascii="Arial" w:hAnsi="Arial"/>
          <w:sz w:val="24"/>
          <w:szCs w:val="24"/>
        </w:rPr>
        <w:t>1</w:t>
      </w:r>
      <w:r w:rsidR="0097075D" w:rsidRPr="0097075D">
        <w:rPr>
          <w:rFonts w:ascii="Arial" w:hAnsi="Arial"/>
          <w:sz w:val="24"/>
          <w:szCs w:val="24"/>
          <w:vertAlign w:val="superscript"/>
        </w:rPr>
        <w:t>st</w:t>
      </w:r>
      <w:r w:rsidR="0097075D">
        <w:rPr>
          <w:rFonts w:ascii="Arial" w:hAnsi="Arial"/>
          <w:sz w:val="24"/>
          <w:szCs w:val="24"/>
        </w:rPr>
        <w:t xml:space="preserve"> </w:t>
      </w:r>
      <w:r w:rsidR="003D2C58" w:rsidRPr="00F37783">
        <w:rPr>
          <w:rFonts w:ascii="Arial" w:hAnsi="Arial"/>
          <w:sz w:val="24"/>
          <w:szCs w:val="24"/>
        </w:rPr>
        <w:t>November – Members to scrutinise budget</w:t>
      </w:r>
    </w:p>
    <w:p w:rsidR="003D2C58" w:rsidRPr="00F37783" w:rsidRDefault="0097075D" w:rsidP="00C54396">
      <w:pPr>
        <w:pStyle w:val="ListParagraph"/>
        <w:numPr>
          <w:ilvl w:val="0"/>
          <w:numId w:val="4"/>
        </w:numPr>
        <w:rPr>
          <w:rFonts w:ascii="Arial" w:eastAsia="Times New Roman" w:hAnsi="Arial"/>
          <w:sz w:val="24"/>
          <w:szCs w:val="24"/>
          <w:lang w:eastAsia="en-GB"/>
        </w:rPr>
      </w:pPr>
      <w:r>
        <w:rPr>
          <w:rFonts w:ascii="Arial" w:hAnsi="Arial"/>
          <w:sz w:val="24"/>
          <w:szCs w:val="24"/>
        </w:rPr>
        <w:t>Cabinet 12</w:t>
      </w:r>
      <w:r w:rsidRPr="0097075D">
        <w:rPr>
          <w:rFonts w:ascii="Arial" w:hAnsi="Arial"/>
          <w:sz w:val="24"/>
          <w:szCs w:val="24"/>
          <w:vertAlign w:val="superscript"/>
        </w:rPr>
        <w:t>th</w:t>
      </w:r>
      <w:r>
        <w:rPr>
          <w:rFonts w:ascii="Arial" w:hAnsi="Arial"/>
          <w:sz w:val="24"/>
          <w:szCs w:val="24"/>
        </w:rPr>
        <w:t xml:space="preserve"> </w:t>
      </w:r>
      <w:r w:rsidR="003D2C58" w:rsidRPr="00F37783">
        <w:rPr>
          <w:rFonts w:ascii="Arial" w:hAnsi="Arial"/>
          <w:sz w:val="24"/>
          <w:szCs w:val="24"/>
        </w:rPr>
        <w:t>December – Cabinet receive OSC feedback report</w:t>
      </w:r>
    </w:p>
    <w:p w:rsidR="003D2C58" w:rsidRPr="00F37783" w:rsidRDefault="0097075D" w:rsidP="00C54396">
      <w:pPr>
        <w:pStyle w:val="ListParagraph"/>
        <w:numPr>
          <w:ilvl w:val="0"/>
          <w:numId w:val="4"/>
        </w:numPr>
        <w:rPr>
          <w:rFonts w:ascii="Arial" w:eastAsia="Times New Roman" w:hAnsi="Arial"/>
          <w:sz w:val="24"/>
          <w:szCs w:val="24"/>
          <w:lang w:eastAsia="en-GB"/>
        </w:rPr>
      </w:pPr>
      <w:r>
        <w:rPr>
          <w:rFonts w:ascii="Arial" w:hAnsi="Arial"/>
          <w:sz w:val="24"/>
          <w:szCs w:val="24"/>
        </w:rPr>
        <w:t xml:space="preserve">OSC </w:t>
      </w:r>
      <w:r w:rsidR="00CD6114">
        <w:rPr>
          <w:rFonts w:ascii="Arial" w:hAnsi="Arial"/>
          <w:sz w:val="24"/>
          <w:szCs w:val="24"/>
        </w:rPr>
        <w:t>4</w:t>
      </w:r>
      <w:r w:rsidRPr="0097075D">
        <w:rPr>
          <w:rFonts w:ascii="Arial" w:hAnsi="Arial"/>
          <w:sz w:val="24"/>
          <w:szCs w:val="24"/>
          <w:vertAlign w:val="superscript"/>
        </w:rPr>
        <w:t>th</w:t>
      </w:r>
      <w:r>
        <w:rPr>
          <w:rFonts w:ascii="Arial" w:hAnsi="Arial"/>
          <w:sz w:val="24"/>
          <w:szCs w:val="24"/>
        </w:rPr>
        <w:t xml:space="preserve"> </w:t>
      </w:r>
      <w:r w:rsidR="003D2C58" w:rsidRPr="00F37783">
        <w:rPr>
          <w:rFonts w:ascii="Arial" w:hAnsi="Arial"/>
          <w:sz w:val="24"/>
          <w:szCs w:val="24"/>
        </w:rPr>
        <w:t>January – Portfolio Holder to present feedback to OSC</w:t>
      </w:r>
    </w:p>
    <w:p w:rsidR="003D2C58" w:rsidRPr="00F37783" w:rsidRDefault="00F37783" w:rsidP="00C54396">
      <w:pPr>
        <w:pStyle w:val="ListParagraph"/>
        <w:numPr>
          <w:ilvl w:val="0"/>
          <w:numId w:val="4"/>
        </w:numPr>
        <w:rPr>
          <w:rFonts w:ascii="Arial" w:eastAsia="Times New Roman" w:hAnsi="Arial"/>
          <w:sz w:val="24"/>
          <w:szCs w:val="24"/>
          <w:lang w:eastAsia="en-GB"/>
        </w:rPr>
      </w:pPr>
      <w:r w:rsidRPr="00F37783">
        <w:rPr>
          <w:rFonts w:ascii="Arial" w:hAnsi="Arial"/>
          <w:sz w:val="24"/>
          <w:szCs w:val="24"/>
        </w:rPr>
        <w:t xml:space="preserve">Cabinet </w:t>
      </w:r>
      <w:r w:rsidR="0097075D">
        <w:rPr>
          <w:rFonts w:ascii="Arial" w:hAnsi="Arial"/>
          <w:sz w:val="24"/>
          <w:szCs w:val="24"/>
        </w:rPr>
        <w:t>16</w:t>
      </w:r>
      <w:r w:rsidR="0097075D" w:rsidRPr="0097075D">
        <w:rPr>
          <w:rFonts w:ascii="Arial" w:hAnsi="Arial"/>
          <w:sz w:val="24"/>
          <w:szCs w:val="24"/>
          <w:vertAlign w:val="superscript"/>
        </w:rPr>
        <w:t>th</w:t>
      </w:r>
      <w:r w:rsidR="0097075D">
        <w:rPr>
          <w:rFonts w:ascii="Arial" w:hAnsi="Arial"/>
          <w:sz w:val="24"/>
          <w:szCs w:val="24"/>
        </w:rPr>
        <w:t xml:space="preserve"> </w:t>
      </w:r>
      <w:r w:rsidR="003D2C58" w:rsidRPr="00F37783">
        <w:rPr>
          <w:rFonts w:ascii="Arial" w:hAnsi="Arial"/>
          <w:sz w:val="24"/>
          <w:szCs w:val="24"/>
        </w:rPr>
        <w:t>January – Portfolio Holder to present budget</w:t>
      </w:r>
    </w:p>
    <w:p w:rsidR="003D2C58" w:rsidRPr="00F37783" w:rsidRDefault="00F37783" w:rsidP="00C54396">
      <w:pPr>
        <w:pStyle w:val="ListParagraph"/>
        <w:numPr>
          <w:ilvl w:val="0"/>
          <w:numId w:val="4"/>
        </w:numPr>
        <w:rPr>
          <w:rFonts w:ascii="Arial" w:eastAsia="Times New Roman" w:hAnsi="Arial"/>
          <w:sz w:val="24"/>
          <w:szCs w:val="24"/>
          <w:lang w:eastAsia="en-GB"/>
        </w:rPr>
      </w:pPr>
      <w:r w:rsidRPr="00F37783">
        <w:rPr>
          <w:rFonts w:ascii="Arial" w:hAnsi="Arial"/>
          <w:sz w:val="24"/>
          <w:szCs w:val="24"/>
        </w:rPr>
        <w:t xml:space="preserve">Council </w:t>
      </w:r>
      <w:r w:rsidR="0097075D">
        <w:rPr>
          <w:rFonts w:ascii="Arial" w:hAnsi="Arial"/>
          <w:sz w:val="24"/>
          <w:szCs w:val="24"/>
        </w:rPr>
        <w:t>24</w:t>
      </w:r>
      <w:r w:rsidR="0097075D" w:rsidRPr="0097075D">
        <w:rPr>
          <w:rFonts w:ascii="Arial" w:hAnsi="Arial"/>
          <w:sz w:val="24"/>
          <w:szCs w:val="24"/>
          <w:vertAlign w:val="superscript"/>
        </w:rPr>
        <w:t>th</w:t>
      </w:r>
      <w:r w:rsidR="0097075D">
        <w:rPr>
          <w:rFonts w:ascii="Arial" w:hAnsi="Arial"/>
          <w:sz w:val="24"/>
          <w:szCs w:val="24"/>
        </w:rPr>
        <w:t xml:space="preserve"> January</w:t>
      </w:r>
      <w:r w:rsidR="003D2C58" w:rsidRPr="00F37783">
        <w:rPr>
          <w:rFonts w:ascii="Arial" w:hAnsi="Arial"/>
          <w:sz w:val="24"/>
          <w:szCs w:val="24"/>
        </w:rPr>
        <w:t xml:space="preserve"> – Council to approve budget</w:t>
      </w:r>
    </w:p>
    <w:p w:rsidR="003D2C58" w:rsidRPr="00896C6F" w:rsidRDefault="003D2C58" w:rsidP="00C54396">
      <w:pPr>
        <w:pStyle w:val="ListParagraph"/>
        <w:numPr>
          <w:ilvl w:val="0"/>
          <w:numId w:val="4"/>
        </w:numPr>
        <w:rPr>
          <w:rFonts w:ascii="Arial" w:eastAsia="Times New Roman" w:hAnsi="Arial"/>
          <w:sz w:val="24"/>
          <w:szCs w:val="24"/>
          <w:lang w:eastAsia="en-GB"/>
        </w:rPr>
      </w:pPr>
      <w:r w:rsidRPr="00896C6F">
        <w:rPr>
          <w:rFonts w:ascii="Arial" w:hAnsi="Arial"/>
          <w:sz w:val="24"/>
          <w:szCs w:val="24"/>
        </w:rPr>
        <w:t xml:space="preserve">Council </w:t>
      </w:r>
      <w:r w:rsidR="0097075D">
        <w:rPr>
          <w:rFonts w:ascii="Arial" w:hAnsi="Arial"/>
          <w:sz w:val="24"/>
          <w:szCs w:val="24"/>
        </w:rPr>
        <w:t>7</w:t>
      </w:r>
      <w:r w:rsidR="0097075D" w:rsidRPr="0097075D">
        <w:rPr>
          <w:rFonts w:ascii="Arial" w:hAnsi="Arial"/>
          <w:sz w:val="24"/>
          <w:szCs w:val="24"/>
          <w:vertAlign w:val="superscript"/>
        </w:rPr>
        <w:t>th</w:t>
      </w:r>
      <w:r w:rsidR="0097075D">
        <w:rPr>
          <w:rFonts w:ascii="Arial" w:hAnsi="Arial"/>
          <w:sz w:val="24"/>
          <w:szCs w:val="24"/>
        </w:rPr>
        <w:t xml:space="preserve"> </w:t>
      </w:r>
      <w:r w:rsidRPr="00896C6F">
        <w:rPr>
          <w:rFonts w:ascii="Arial" w:hAnsi="Arial"/>
          <w:sz w:val="24"/>
          <w:szCs w:val="24"/>
        </w:rPr>
        <w:t>March - Council Tax resolution made by Council including precepts from other authorities</w:t>
      </w:r>
    </w:p>
    <w:p w:rsidR="0044370E" w:rsidRPr="00656AD3" w:rsidRDefault="0044370E" w:rsidP="0025396B">
      <w:pPr>
        <w:jc w:val="left"/>
        <w:rPr>
          <w:sz w:val="24"/>
          <w:szCs w:val="24"/>
        </w:rPr>
      </w:pPr>
    </w:p>
    <w:p w:rsidR="0089260C" w:rsidRPr="00656AD3" w:rsidRDefault="00BE210E" w:rsidP="0073669D">
      <w:pPr>
        <w:ind w:left="851" w:hanging="851"/>
        <w:jc w:val="left"/>
        <w:outlineLvl w:val="0"/>
        <w:rPr>
          <w:b/>
          <w:sz w:val="24"/>
          <w:szCs w:val="24"/>
        </w:rPr>
      </w:pPr>
      <w:r w:rsidRPr="00656AD3">
        <w:rPr>
          <w:b/>
          <w:sz w:val="24"/>
          <w:szCs w:val="24"/>
        </w:rPr>
        <w:t>4.</w:t>
      </w:r>
      <w:r w:rsidRPr="00656AD3">
        <w:rPr>
          <w:b/>
          <w:sz w:val="24"/>
          <w:szCs w:val="24"/>
        </w:rPr>
        <w:tab/>
      </w:r>
      <w:r w:rsidR="0089260C" w:rsidRPr="00656AD3">
        <w:rPr>
          <w:b/>
          <w:sz w:val="24"/>
          <w:szCs w:val="24"/>
        </w:rPr>
        <w:t>OPTIONS AVAILABLE</w:t>
      </w:r>
    </w:p>
    <w:p w:rsidR="0089260C" w:rsidRPr="00656AD3" w:rsidRDefault="0089260C" w:rsidP="0073669D">
      <w:pPr>
        <w:ind w:left="851" w:hanging="851"/>
        <w:jc w:val="left"/>
        <w:rPr>
          <w:sz w:val="24"/>
          <w:szCs w:val="24"/>
        </w:rPr>
      </w:pPr>
    </w:p>
    <w:p w:rsidR="00AE466C" w:rsidRPr="00656AD3" w:rsidRDefault="00AE466C" w:rsidP="0073669D">
      <w:pPr>
        <w:ind w:left="851" w:hanging="851"/>
        <w:jc w:val="left"/>
        <w:rPr>
          <w:sz w:val="24"/>
          <w:szCs w:val="24"/>
        </w:rPr>
      </w:pPr>
      <w:r w:rsidRPr="00656AD3">
        <w:rPr>
          <w:sz w:val="24"/>
          <w:szCs w:val="24"/>
        </w:rPr>
        <w:t>4.1</w:t>
      </w:r>
      <w:r w:rsidRPr="00656AD3">
        <w:rPr>
          <w:sz w:val="24"/>
          <w:szCs w:val="24"/>
        </w:rPr>
        <w:tab/>
      </w:r>
      <w:r w:rsidR="003E6D22" w:rsidRPr="00991A0D">
        <w:rPr>
          <w:sz w:val="24"/>
          <w:szCs w:val="24"/>
        </w:rPr>
        <w:t>Any amendments proposed could only be implemented if the overall General Fund and Housing Revenue Accounts provide a balanced budget</w:t>
      </w:r>
      <w:r w:rsidR="00546EFF">
        <w:rPr>
          <w:sz w:val="24"/>
          <w:szCs w:val="24"/>
        </w:rPr>
        <w:t>.</w:t>
      </w:r>
    </w:p>
    <w:p w:rsidR="00285CCE" w:rsidRDefault="00285CCE" w:rsidP="003E6D22">
      <w:pPr>
        <w:jc w:val="left"/>
        <w:rPr>
          <w:b/>
          <w:sz w:val="24"/>
          <w:szCs w:val="24"/>
        </w:rPr>
      </w:pPr>
    </w:p>
    <w:p w:rsidR="00F24AAD" w:rsidRPr="00656AD3" w:rsidRDefault="00F24AAD" w:rsidP="00394C78">
      <w:pPr>
        <w:jc w:val="left"/>
        <w:rPr>
          <w:b/>
          <w:sz w:val="24"/>
          <w:szCs w:val="24"/>
        </w:rPr>
      </w:pPr>
    </w:p>
    <w:p w:rsidR="006F7ABC" w:rsidRPr="00656AD3" w:rsidRDefault="007B16CE" w:rsidP="003B0BE7">
      <w:pPr>
        <w:jc w:val="left"/>
        <w:rPr>
          <w:b/>
          <w:sz w:val="24"/>
          <w:szCs w:val="24"/>
        </w:rPr>
      </w:pPr>
      <w:r w:rsidRPr="00656AD3">
        <w:rPr>
          <w:b/>
          <w:sz w:val="24"/>
          <w:szCs w:val="24"/>
        </w:rPr>
        <w:t>5</w:t>
      </w:r>
      <w:r w:rsidR="006F7ABC" w:rsidRPr="00656AD3">
        <w:rPr>
          <w:b/>
          <w:sz w:val="24"/>
          <w:szCs w:val="24"/>
        </w:rPr>
        <w:t>.</w:t>
      </w:r>
      <w:r w:rsidR="006F7ABC" w:rsidRPr="00656AD3">
        <w:rPr>
          <w:b/>
          <w:sz w:val="24"/>
          <w:szCs w:val="24"/>
        </w:rPr>
        <w:tab/>
        <w:t>RISK ASSESSMENT</w:t>
      </w:r>
      <w:r w:rsidR="00B76F23" w:rsidRPr="00656AD3">
        <w:rPr>
          <w:b/>
          <w:sz w:val="24"/>
          <w:szCs w:val="24"/>
        </w:rPr>
        <w:t xml:space="preserve"> OF RECOMMENDATIONS AND OPTIONS</w:t>
      </w:r>
    </w:p>
    <w:p w:rsidR="006F7ABC" w:rsidRPr="00656AD3" w:rsidRDefault="006F7ABC" w:rsidP="0025396B">
      <w:pPr>
        <w:jc w:val="left"/>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760"/>
        <w:gridCol w:w="1200"/>
        <w:gridCol w:w="3480"/>
      </w:tblGrid>
      <w:tr w:rsidR="007C72A1" w:rsidRPr="00656AD3" w:rsidTr="00916E63">
        <w:tc>
          <w:tcPr>
            <w:tcW w:w="1680" w:type="dxa"/>
            <w:shd w:val="clear" w:color="auto" w:fill="auto"/>
          </w:tcPr>
          <w:p w:rsidR="007C72A1" w:rsidRPr="00656AD3" w:rsidRDefault="007C72A1" w:rsidP="00916E63">
            <w:pPr>
              <w:jc w:val="left"/>
              <w:rPr>
                <w:b/>
                <w:bCs/>
                <w:sz w:val="24"/>
                <w:szCs w:val="24"/>
              </w:rPr>
            </w:pPr>
            <w:r w:rsidRPr="00656AD3">
              <w:rPr>
                <w:b/>
                <w:bCs/>
                <w:sz w:val="24"/>
                <w:szCs w:val="24"/>
              </w:rPr>
              <w:t xml:space="preserve">Risk </w:t>
            </w:r>
          </w:p>
        </w:tc>
        <w:tc>
          <w:tcPr>
            <w:tcW w:w="2760" w:type="dxa"/>
            <w:shd w:val="clear" w:color="auto" w:fill="auto"/>
          </w:tcPr>
          <w:p w:rsidR="007C72A1" w:rsidRPr="00656AD3" w:rsidRDefault="007C72A1" w:rsidP="00916E63">
            <w:pPr>
              <w:jc w:val="left"/>
              <w:rPr>
                <w:b/>
                <w:bCs/>
                <w:sz w:val="24"/>
                <w:szCs w:val="24"/>
              </w:rPr>
            </w:pPr>
            <w:r w:rsidRPr="00656AD3">
              <w:rPr>
                <w:b/>
                <w:bCs/>
                <w:sz w:val="24"/>
                <w:szCs w:val="24"/>
              </w:rPr>
              <w:t xml:space="preserve">Risk Assessment </w:t>
            </w:r>
          </w:p>
        </w:tc>
        <w:tc>
          <w:tcPr>
            <w:tcW w:w="1200" w:type="dxa"/>
            <w:shd w:val="clear" w:color="auto" w:fill="auto"/>
          </w:tcPr>
          <w:p w:rsidR="007C72A1" w:rsidRPr="00656AD3" w:rsidRDefault="007C72A1" w:rsidP="00916E63">
            <w:pPr>
              <w:jc w:val="left"/>
              <w:rPr>
                <w:b/>
                <w:bCs/>
                <w:sz w:val="24"/>
                <w:szCs w:val="24"/>
              </w:rPr>
            </w:pPr>
            <w:r w:rsidRPr="00656AD3">
              <w:rPr>
                <w:b/>
                <w:bCs/>
                <w:sz w:val="24"/>
                <w:szCs w:val="24"/>
              </w:rPr>
              <w:t xml:space="preserve">Risk Level </w:t>
            </w:r>
          </w:p>
        </w:tc>
        <w:tc>
          <w:tcPr>
            <w:tcW w:w="3480" w:type="dxa"/>
            <w:shd w:val="clear" w:color="auto" w:fill="auto"/>
          </w:tcPr>
          <w:p w:rsidR="007C72A1" w:rsidRPr="00656AD3" w:rsidRDefault="007C72A1" w:rsidP="00916E63">
            <w:pPr>
              <w:jc w:val="left"/>
              <w:rPr>
                <w:b/>
                <w:bCs/>
                <w:sz w:val="24"/>
                <w:szCs w:val="24"/>
              </w:rPr>
            </w:pPr>
            <w:r w:rsidRPr="00656AD3">
              <w:rPr>
                <w:b/>
                <w:bCs/>
                <w:sz w:val="24"/>
                <w:szCs w:val="24"/>
              </w:rPr>
              <w:t xml:space="preserve">Risk Management </w:t>
            </w:r>
          </w:p>
        </w:tc>
      </w:tr>
      <w:tr w:rsidR="007C72A1" w:rsidRPr="00656AD3" w:rsidTr="00916E63">
        <w:tc>
          <w:tcPr>
            <w:tcW w:w="1680" w:type="dxa"/>
            <w:shd w:val="clear" w:color="auto" w:fill="auto"/>
          </w:tcPr>
          <w:p w:rsidR="007C72A1" w:rsidRPr="00656AD3" w:rsidRDefault="0044370E" w:rsidP="00916E63">
            <w:pPr>
              <w:jc w:val="left"/>
              <w:rPr>
                <w:b/>
                <w:bCs/>
                <w:sz w:val="24"/>
                <w:szCs w:val="24"/>
              </w:rPr>
            </w:pPr>
            <w:r w:rsidRPr="00656AD3">
              <w:rPr>
                <w:b/>
                <w:bCs/>
                <w:sz w:val="24"/>
                <w:szCs w:val="24"/>
              </w:rPr>
              <w:t>Financial</w:t>
            </w:r>
          </w:p>
          <w:p w:rsidR="003F162E" w:rsidRPr="00656AD3" w:rsidRDefault="003F162E" w:rsidP="00916E63">
            <w:pPr>
              <w:jc w:val="left"/>
              <w:rPr>
                <w:bCs/>
                <w:sz w:val="24"/>
                <w:szCs w:val="24"/>
              </w:rPr>
            </w:pPr>
            <w:r w:rsidRPr="00656AD3">
              <w:rPr>
                <w:bCs/>
                <w:sz w:val="24"/>
                <w:szCs w:val="24"/>
              </w:rPr>
              <w:t>That the figures contained within the proposed budgets for income and expenditure are inaccurate</w:t>
            </w:r>
          </w:p>
        </w:tc>
        <w:tc>
          <w:tcPr>
            <w:tcW w:w="2760" w:type="dxa"/>
            <w:shd w:val="clear" w:color="auto" w:fill="auto"/>
          </w:tcPr>
          <w:p w:rsidR="007C72A1" w:rsidRPr="00656AD3" w:rsidRDefault="003F162E" w:rsidP="00916E63">
            <w:pPr>
              <w:jc w:val="left"/>
              <w:rPr>
                <w:bCs/>
                <w:sz w:val="24"/>
                <w:szCs w:val="24"/>
              </w:rPr>
            </w:pPr>
            <w:r w:rsidRPr="00656AD3">
              <w:rPr>
                <w:bCs/>
                <w:sz w:val="24"/>
                <w:szCs w:val="24"/>
              </w:rPr>
              <w:t>That the calculations have been made incorrectly</w:t>
            </w:r>
            <w:r w:rsidR="00291014" w:rsidRPr="00656AD3">
              <w:rPr>
                <w:bCs/>
                <w:sz w:val="24"/>
                <w:szCs w:val="24"/>
              </w:rPr>
              <w:t>. There is a great deal of work involved in bringing the information together and errors may occur</w:t>
            </w:r>
          </w:p>
          <w:p w:rsidR="00291014" w:rsidRPr="00656AD3" w:rsidRDefault="00291014" w:rsidP="00916E63">
            <w:pPr>
              <w:jc w:val="left"/>
              <w:rPr>
                <w:bCs/>
                <w:sz w:val="24"/>
                <w:szCs w:val="24"/>
              </w:rPr>
            </w:pPr>
          </w:p>
          <w:p w:rsidR="00291014" w:rsidRPr="00656AD3" w:rsidRDefault="00291014" w:rsidP="00916E63">
            <w:pPr>
              <w:jc w:val="left"/>
              <w:rPr>
                <w:bCs/>
                <w:sz w:val="24"/>
                <w:szCs w:val="24"/>
              </w:rPr>
            </w:pPr>
            <w:r w:rsidRPr="00656AD3">
              <w:rPr>
                <w:bCs/>
                <w:sz w:val="24"/>
                <w:szCs w:val="24"/>
              </w:rPr>
              <w:t>That the assumption on which the budgets are based are incorrect</w:t>
            </w:r>
          </w:p>
        </w:tc>
        <w:tc>
          <w:tcPr>
            <w:tcW w:w="1200" w:type="dxa"/>
            <w:shd w:val="clear" w:color="auto" w:fill="auto"/>
          </w:tcPr>
          <w:p w:rsidR="007C72A1" w:rsidRPr="00656AD3" w:rsidRDefault="00291014" w:rsidP="00916E63">
            <w:pPr>
              <w:jc w:val="left"/>
              <w:rPr>
                <w:rFonts w:cs="Arial"/>
                <w:bCs/>
                <w:color w:val="000000"/>
                <w:sz w:val="24"/>
                <w:szCs w:val="24"/>
              </w:rPr>
            </w:pPr>
            <w:r w:rsidRPr="00656AD3">
              <w:rPr>
                <w:rFonts w:cs="Arial"/>
                <w:bCs/>
                <w:color w:val="000000"/>
                <w:sz w:val="24"/>
                <w:szCs w:val="24"/>
              </w:rPr>
              <w:t>M</w:t>
            </w:r>
            <w:r w:rsidR="003F162E" w:rsidRPr="00656AD3">
              <w:rPr>
                <w:rFonts w:cs="Arial"/>
                <w:bCs/>
                <w:color w:val="000000"/>
                <w:sz w:val="24"/>
                <w:szCs w:val="24"/>
              </w:rPr>
              <w:t>edium</w:t>
            </w: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p>
          <w:p w:rsidR="00291014" w:rsidRPr="00656AD3" w:rsidRDefault="00291014" w:rsidP="00916E63">
            <w:pPr>
              <w:jc w:val="left"/>
              <w:rPr>
                <w:rFonts w:cs="Arial"/>
                <w:bCs/>
                <w:color w:val="000000"/>
                <w:sz w:val="24"/>
                <w:szCs w:val="24"/>
              </w:rPr>
            </w:pPr>
            <w:r w:rsidRPr="00656AD3">
              <w:rPr>
                <w:rFonts w:cs="Arial"/>
                <w:bCs/>
                <w:color w:val="000000"/>
                <w:sz w:val="24"/>
                <w:szCs w:val="24"/>
              </w:rPr>
              <w:t>Medium</w:t>
            </w:r>
          </w:p>
        </w:tc>
        <w:tc>
          <w:tcPr>
            <w:tcW w:w="3480" w:type="dxa"/>
            <w:shd w:val="clear" w:color="auto" w:fill="auto"/>
          </w:tcPr>
          <w:p w:rsidR="007C72A1" w:rsidRPr="00656AD3" w:rsidRDefault="003F162E" w:rsidP="00916E63">
            <w:pPr>
              <w:jc w:val="left"/>
              <w:rPr>
                <w:bCs/>
                <w:sz w:val="24"/>
                <w:szCs w:val="24"/>
              </w:rPr>
            </w:pPr>
            <w:r w:rsidRPr="00656AD3">
              <w:rPr>
                <w:bCs/>
                <w:sz w:val="24"/>
                <w:szCs w:val="24"/>
              </w:rPr>
              <w:t>A quality check is undertaken throughout the process</w:t>
            </w:r>
            <w:r w:rsidR="00291014" w:rsidRPr="00656AD3">
              <w:rPr>
                <w:bCs/>
                <w:sz w:val="24"/>
                <w:szCs w:val="24"/>
              </w:rPr>
              <w:t xml:space="preserve"> and errors identified</w:t>
            </w:r>
          </w:p>
          <w:p w:rsidR="00291014" w:rsidRPr="00656AD3" w:rsidRDefault="00291014" w:rsidP="00916E63">
            <w:pPr>
              <w:jc w:val="left"/>
              <w:rPr>
                <w:bCs/>
                <w:sz w:val="24"/>
                <w:szCs w:val="24"/>
              </w:rPr>
            </w:pPr>
          </w:p>
          <w:p w:rsidR="00291014" w:rsidRPr="00656AD3" w:rsidRDefault="00291014" w:rsidP="00916E63">
            <w:pPr>
              <w:jc w:val="left"/>
              <w:rPr>
                <w:bCs/>
                <w:sz w:val="24"/>
                <w:szCs w:val="24"/>
              </w:rPr>
            </w:pPr>
          </w:p>
          <w:p w:rsidR="00291014" w:rsidRPr="00656AD3" w:rsidRDefault="00291014" w:rsidP="00916E63">
            <w:pPr>
              <w:jc w:val="left"/>
              <w:rPr>
                <w:bCs/>
                <w:sz w:val="24"/>
                <w:szCs w:val="24"/>
              </w:rPr>
            </w:pPr>
          </w:p>
          <w:p w:rsidR="00291014" w:rsidRPr="00656AD3" w:rsidRDefault="00291014" w:rsidP="00916E63">
            <w:pPr>
              <w:jc w:val="left"/>
              <w:rPr>
                <w:bCs/>
                <w:sz w:val="24"/>
                <w:szCs w:val="24"/>
              </w:rPr>
            </w:pPr>
          </w:p>
          <w:p w:rsidR="00291014" w:rsidRPr="00656AD3" w:rsidRDefault="00291014" w:rsidP="00916E63">
            <w:pPr>
              <w:jc w:val="left"/>
              <w:rPr>
                <w:bCs/>
                <w:sz w:val="24"/>
                <w:szCs w:val="24"/>
              </w:rPr>
            </w:pPr>
          </w:p>
          <w:p w:rsidR="00291014" w:rsidRPr="00656AD3" w:rsidRDefault="00291014" w:rsidP="00916E63">
            <w:pPr>
              <w:jc w:val="left"/>
              <w:rPr>
                <w:bCs/>
                <w:sz w:val="24"/>
                <w:szCs w:val="24"/>
              </w:rPr>
            </w:pPr>
            <w:r w:rsidRPr="00656AD3">
              <w:rPr>
                <w:bCs/>
                <w:sz w:val="24"/>
                <w:szCs w:val="24"/>
              </w:rPr>
              <w:t xml:space="preserve">The assumptions shown within the Medium Term Financial </w:t>
            </w:r>
            <w:r w:rsidR="00C07013">
              <w:rPr>
                <w:bCs/>
                <w:sz w:val="24"/>
                <w:szCs w:val="24"/>
              </w:rPr>
              <w:t>Plan</w:t>
            </w:r>
            <w:r w:rsidRPr="00656AD3">
              <w:rPr>
                <w:bCs/>
                <w:sz w:val="24"/>
                <w:szCs w:val="24"/>
              </w:rPr>
              <w:t xml:space="preserve"> have been reviewed and where necessary adjustments have been made</w:t>
            </w:r>
          </w:p>
          <w:p w:rsidR="00F2699A" w:rsidRPr="00656AD3" w:rsidRDefault="00F2699A" w:rsidP="00916E63">
            <w:pPr>
              <w:jc w:val="left"/>
              <w:rPr>
                <w:bCs/>
                <w:sz w:val="24"/>
                <w:szCs w:val="24"/>
              </w:rPr>
            </w:pPr>
          </w:p>
        </w:tc>
      </w:tr>
      <w:tr w:rsidR="003B0E66" w:rsidTr="003B0E66">
        <w:tc>
          <w:tcPr>
            <w:tcW w:w="1680" w:type="dxa"/>
            <w:tcBorders>
              <w:top w:val="single" w:sz="4" w:space="0" w:color="auto"/>
              <w:left w:val="single" w:sz="4" w:space="0" w:color="auto"/>
              <w:bottom w:val="single" w:sz="4" w:space="0" w:color="auto"/>
              <w:right w:val="single" w:sz="4" w:space="0" w:color="auto"/>
            </w:tcBorders>
            <w:shd w:val="clear" w:color="auto" w:fill="auto"/>
          </w:tcPr>
          <w:p w:rsidR="003B0E66" w:rsidRPr="003B0E66" w:rsidRDefault="003B0E66" w:rsidP="00394E10">
            <w:pPr>
              <w:jc w:val="left"/>
              <w:rPr>
                <w:bCs/>
                <w:sz w:val="24"/>
                <w:szCs w:val="24"/>
              </w:rPr>
            </w:pPr>
            <w:r w:rsidRPr="003B0E66">
              <w:rPr>
                <w:bCs/>
                <w:sz w:val="24"/>
                <w:szCs w:val="24"/>
              </w:rPr>
              <w:t>Increasing fees and charges will have an adverse impact on the demand for Council services</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B0E66" w:rsidRPr="00CD2376" w:rsidRDefault="003B0E66" w:rsidP="00394E10">
            <w:pPr>
              <w:jc w:val="left"/>
              <w:rPr>
                <w:bCs/>
                <w:sz w:val="24"/>
                <w:szCs w:val="24"/>
              </w:rPr>
            </w:pPr>
            <w:r w:rsidRPr="00CD2376">
              <w:rPr>
                <w:bCs/>
                <w:sz w:val="24"/>
                <w:szCs w:val="24"/>
              </w:rPr>
              <w:t>A number of the Council’s budgets are dependent on external factors when it comes to achieving income targets.</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B0E66" w:rsidRPr="003B0E66" w:rsidRDefault="003B0E66" w:rsidP="00394E10">
            <w:pPr>
              <w:jc w:val="left"/>
              <w:rPr>
                <w:rFonts w:cs="Arial"/>
                <w:bCs/>
                <w:color w:val="000000"/>
                <w:sz w:val="24"/>
                <w:szCs w:val="24"/>
              </w:rPr>
            </w:pPr>
            <w:r w:rsidRPr="003B0E66">
              <w:rPr>
                <w:rFonts w:cs="Arial"/>
                <w:bCs/>
                <w:color w:val="000000"/>
                <w:sz w:val="24"/>
                <w:szCs w:val="24"/>
              </w:rPr>
              <w:t>Low</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3B0E66" w:rsidRPr="00CD2376" w:rsidRDefault="003B0E66" w:rsidP="00394E10">
            <w:pPr>
              <w:jc w:val="left"/>
              <w:rPr>
                <w:bCs/>
                <w:sz w:val="24"/>
                <w:szCs w:val="24"/>
              </w:rPr>
            </w:pPr>
            <w:r w:rsidRPr="00CD2376">
              <w:rPr>
                <w:bCs/>
                <w:sz w:val="24"/>
                <w:szCs w:val="24"/>
              </w:rPr>
              <w:t>Proposed increases in fees and charges are in line with the inflationary target (of 2%) set by the Bank of England.</w:t>
            </w:r>
          </w:p>
          <w:p w:rsidR="003B0E66" w:rsidRPr="00CD2376" w:rsidRDefault="003B0E66" w:rsidP="00394E10">
            <w:pPr>
              <w:jc w:val="left"/>
              <w:rPr>
                <w:bCs/>
                <w:sz w:val="24"/>
                <w:szCs w:val="24"/>
              </w:rPr>
            </w:pPr>
          </w:p>
          <w:p w:rsidR="003B0E66" w:rsidRDefault="003B0E66" w:rsidP="00394E10">
            <w:pPr>
              <w:jc w:val="left"/>
              <w:rPr>
                <w:bCs/>
                <w:sz w:val="24"/>
                <w:szCs w:val="24"/>
              </w:rPr>
            </w:pPr>
            <w:r w:rsidRPr="00CD2376">
              <w:rPr>
                <w:bCs/>
                <w:sz w:val="24"/>
                <w:szCs w:val="24"/>
              </w:rPr>
              <w:t>Budgets are monitored on a monthly basis with any significant variances between budgeted and actual figures being reported to the Corporate Leadership Team where corrective action is sought.</w:t>
            </w:r>
          </w:p>
          <w:p w:rsidR="003B0E66" w:rsidRPr="00CD2376" w:rsidRDefault="003B0E66" w:rsidP="00394E10">
            <w:pPr>
              <w:jc w:val="left"/>
              <w:rPr>
                <w:bCs/>
                <w:sz w:val="24"/>
                <w:szCs w:val="24"/>
              </w:rPr>
            </w:pPr>
          </w:p>
        </w:tc>
      </w:tr>
      <w:tr w:rsidR="000E3386" w:rsidRPr="00656AD3" w:rsidTr="00916E63">
        <w:tc>
          <w:tcPr>
            <w:tcW w:w="1680" w:type="dxa"/>
            <w:shd w:val="clear" w:color="auto" w:fill="auto"/>
          </w:tcPr>
          <w:p w:rsidR="000E3386" w:rsidRPr="00656AD3" w:rsidRDefault="000E3386" w:rsidP="00916E63">
            <w:pPr>
              <w:jc w:val="left"/>
              <w:rPr>
                <w:b/>
                <w:bCs/>
                <w:sz w:val="24"/>
                <w:szCs w:val="24"/>
              </w:rPr>
            </w:pPr>
            <w:r w:rsidRPr="00656AD3">
              <w:rPr>
                <w:b/>
                <w:bCs/>
                <w:sz w:val="24"/>
                <w:szCs w:val="24"/>
              </w:rPr>
              <w:t>Legal</w:t>
            </w:r>
          </w:p>
        </w:tc>
        <w:tc>
          <w:tcPr>
            <w:tcW w:w="2760" w:type="dxa"/>
            <w:shd w:val="clear" w:color="auto" w:fill="auto"/>
          </w:tcPr>
          <w:p w:rsidR="000E3386" w:rsidRPr="00656AD3" w:rsidRDefault="000E3386" w:rsidP="00916E63">
            <w:pPr>
              <w:jc w:val="left"/>
              <w:rPr>
                <w:bCs/>
                <w:sz w:val="24"/>
                <w:szCs w:val="24"/>
              </w:rPr>
            </w:pPr>
            <w:r w:rsidRPr="00656AD3">
              <w:rPr>
                <w:bCs/>
                <w:sz w:val="24"/>
                <w:szCs w:val="24"/>
              </w:rPr>
              <w:t>That the budgets include something for which the Council does not have the necessary powers</w:t>
            </w:r>
          </w:p>
          <w:p w:rsidR="000E3386" w:rsidRPr="00656AD3" w:rsidRDefault="000E3386" w:rsidP="00916E63">
            <w:pPr>
              <w:jc w:val="left"/>
              <w:rPr>
                <w:bCs/>
                <w:sz w:val="24"/>
                <w:szCs w:val="24"/>
              </w:rPr>
            </w:pPr>
          </w:p>
          <w:p w:rsidR="000E3386" w:rsidRPr="00656AD3" w:rsidRDefault="000E3386" w:rsidP="00916E63">
            <w:pPr>
              <w:jc w:val="left"/>
              <w:rPr>
                <w:bCs/>
                <w:sz w:val="24"/>
                <w:szCs w:val="24"/>
              </w:rPr>
            </w:pPr>
          </w:p>
          <w:p w:rsidR="000E3386" w:rsidRPr="00656AD3" w:rsidRDefault="000E3386" w:rsidP="00916E63">
            <w:pPr>
              <w:jc w:val="left"/>
              <w:rPr>
                <w:bCs/>
                <w:sz w:val="24"/>
                <w:szCs w:val="24"/>
              </w:rPr>
            </w:pPr>
            <w:r w:rsidRPr="00656AD3">
              <w:rPr>
                <w:bCs/>
                <w:sz w:val="24"/>
                <w:szCs w:val="24"/>
              </w:rPr>
              <w:t xml:space="preserve">If Equality Impact Assessments </w:t>
            </w:r>
            <w:r w:rsidR="00980AE0" w:rsidRPr="00656AD3">
              <w:rPr>
                <w:bCs/>
                <w:sz w:val="24"/>
                <w:szCs w:val="24"/>
              </w:rPr>
              <w:t>cannot</w:t>
            </w:r>
            <w:r w:rsidRPr="00656AD3">
              <w:rPr>
                <w:bCs/>
                <w:sz w:val="24"/>
                <w:szCs w:val="24"/>
              </w:rPr>
              <w:t xml:space="preserve"> be shown to have been carried out robustly, the Council may be open to legal challenge</w:t>
            </w:r>
          </w:p>
          <w:p w:rsidR="000E3386" w:rsidRPr="00656AD3" w:rsidRDefault="000E3386" w:rsidP="00916E63">
            <w:pPr>
              <w:jc w:val="left"/>
              <w:rPr>
                <w:bCs/>
                <w:sz w:val="24"/>
                <w:szCs w:val="24"/>
              </w:rPr>
            </w:pPr>
          </w:p>
        </w:tc>
        <w:tc>
          <w:tcPr>
            <w:tcW w:w="1200" w:type="dxa"/>
            <w:shd w:val="clear" w:color="auto" w:fill="auto"/>
          </w:tcPr>
          <w:p w:rsidR="000E3386" w:rsidRPr="00656AD3" w:rsidRDefault="000E3386" w:rsidP="00916E63">
            <w:pPr>
              <w:jc w:val="left"/>
              <w:rPr>
                <w:bCs/>
                <w:sz w:val="24"/>
                <w:szCs w:val="24"/>
              </w:rPr>
            </w:pPr>
            <w:r w:rsidRPr="00656AD3">
              <w:rPr>
                <w:bCs/>
                <w:sz w:val="24"/>
                <w:szCs w:val="24"/>
              </w:rPr>
              <w:t>Low</w:t>
            </w:r>
          </w:p>
          <w:p w:rsidR="000E3386" w:rsidRPr="00656AD3" w:rsidRDefault="000E3386" w:rsidP="00916E63">
            <w:pPr>
              <w:jc w:val="left"/>
              <w:rPr>
                <w:bCs/>
                <w:sz w:val="24"/>
                <w:szCs w:val="24"/>
              </w:rPr>
            </w:pPr>
          </w:p>
          <w:p w:rsidR="000E3386" w:rsidRPr="00656AD3" w:rsidRDefault="000E3386" w:rsidP="00916E63">
            <w:pPr>
              <w:jc w:val="left"/>
              <w:rPr>
                <w:bCs/>
                <w:sz w:val="24"/>
                <w:szCs w:val="24"/>
              </w:rPr>
            </w:pPr>
          </w:p>
          <w:p w:rsidR="000E3386" w:rsidRPr="00656AD3" w:rsidRDefault="000E3386" w:rsidP="00916E63">
            <w:pPr>
              <w:jc w:val="left"/>
              <w:rPr>
                <w:bCs/>
                <w:sz w:val="24"/>
                <w:szCs w:val="24"/>
              </w:rPr>
            </w:pPr>
          </w:p>
          <w:p w:rsidR="000E3386" w:rsidRPr="00656AD3" w:rsidRDefault="000E3386" w:rsidP="00916E63">
            <w:pPr>
              <w:jc w:val="left"/>
              <w:rPr>
                <w:bCs/>
                <w:sz w:val="24"/>
                <w:szCs w:val="24"/>
              </w:rPr>
            </w:pPr>
          </w:p>
          <w:p w:rsidR="000E3386" w:rsidRPr="00656AD3" w:rsidRDefault="000E3386" w:rsidP="00916E63">
            <w:pPr>
              <w:jc w:val="left"/>
              <w:rPr>
                <w:bCs/>
                <w:sz w:val="24"/>
                <w:szCs w:val="24"/>
              </w:rPr>
            </w:pPr>
          </w:p>
          <w:p w:rsidR="000E3386" w:rsidRPr="00656AD3" w:rsidRDefault="000E3386" w:rsidP="00916E63">
            <w:pPr>
              <w:jc w:val="left"/>
              <w:rPr>
                <w:bCs/>
                <w:sz w:val="24"/>
                <w:szCs w:val="24"/>
              </w:rPr>
            </w:pPr>
          </w:p>
          <w:p w:rsidR="000E3386" w:rsidRPr="00656AD3" w:rsidRDefault="000E3386" w:rsidP="00916E63">
            <w:pPr>
              <w:jc w:val="left"/>
              <w:rPr>
                <w:bCs/>
                <w:sz w:val="24"/>
                <w:szCs w:val="24"/>
              </w:rPr>
            </w:pPr>
            <w:r w:rsidRPr="00656AD3">
              <w:rPr>
                <w:bCs/>
                <w:sz w:val="24"/>
                <w:szCs w:val="24"/>
              </w:rPr>
              <w:t>Medium</w:t>
            </w:r>
          </w:p>
        </w:tc>
        <w:tc>
          <w:tcPr>
            <w:tcW w:w="3480" w:type="dxa"/>
            <w:shd w:val="clear" w:color="auto" w:fill="auto"/>
          </w:tcPr>
          <w:p w:rsidR="000E3386" w:rsidRPr="00656AD3" w:rsidRDefault="000E3386" w:rsidP="00916E63">
            <w:pPr>
              <w:jc w:val="left"/>
              <w:rPr>
                <w:bCs/>
                <w:sz w:val="24"/>
                <w:szCs w:val="24"/>
              </w:rPr>
            </w:pPr>
            <w:r w:rsidRPr="00656AD3">
              <w:rPr>
                <w:bCs/>
                <w:sz w:val="24"/>
                <w:szCs w:val="24"/>
              </w:rPr>
              <w:t>The proposals for efficiencies which require changes in operation or service delivery will be subject to legal consultation prior to implementation</w:t>
            </w:r>
          </w:p>
          <w:p w:rsidR="000E3386" w:rsidRPr="00656AD3" w:rsidRDefault="000E3386" w:rsidP="00916E63">
            <w:pPr>
              <w:jc w:val="left"/>
              <w:rPr>
                <w:bCs/>
                <w:sz w:val="24"/>
                <w:szCs w:val="24"/>
              </w:rPr>
            </w:pPr>
          </w:p>
          <w:p w:rsidR="000E3386" w:rsidRPr="00656AD3" w:rsidRDefault="000E3386" w:rsidP="00916E63">
            <w:pPr>
              <w:jc w:val="left"/>
              <w:rPr>
                <w:bCs/>
                <w:sz w:val="24"/>
                <w:szCs w:val="24"/>
              </w:rPr>
            </w:pPr>
            <w:r w:rsidRPr="00656AD3">
              <w:rPr>
                <w:bCs/>
                <w:sz w:val="24"/>
                <w:szCs w:val="24"/>
              </w:rPr>
              <w:t>Equality Impact Assessment completed for individual proposals and on the overall budget</w:t>
            </w:r>
          </w:p>
        </w:tc>
      </w:tr>
      <w:tr w:rsidR="000772E6" w:rsidRPr="00656AD3" w:rsidTr="00916E63">
        <w:tc>
          <w:tcPr>
            <w:tcW w:w="1680" w:type="dxa"/>
            <w:shd w:val="clear" w:color="auto" w:fill="auto"/>
          </w:tcPr>
          <w:p w:rsidR="000772E6" w:rsidRPr="00656AD3" w:rsidRDefault="000772E6" w:rsidP="000772E6">
            <w:pPr>
              <w:jc w:val="left"/>
              <w:rPr>
                <w:b/>
                <w:bCs/>
                <w:sz w:val="24"/>
                <w:szCs w:val="24"/>
              </w:rPr>
            </w:pPr>
            <w:r w:rsidRPr="00656AD3">
              <w:rPr>
                <w:b/>
                <w:bCs/>
                <w:sz w:val="24"/>
                <w:szCs w:val="24"/>
              </w:rPr>
              <w:t>Reputational</w:t>
            </w:r>
          </w:p>
        </w:tc>
        <w:tc>
          <w:tcPr>
            <w:tcW w:w="2760" w:type="dxa"/>
            <w:shd w:val="clear" w:color="auto" w:fill="auto"/>
          </w:tcPr>
          <w:p w:rsidR="000772E6" w:rsidRPr="00656AD3" w:rsidRDefault="000772E6" w:rsidP="000772E6">
            <w:pPr>
              <w:jc w:val="left"/>
              <w:rPr>
                <w:bCs/>
                <w:sz w:val="24"/>
                <w:szCs w:val="24"/>
              </w:rPr>
            </w:pPr>
            <w:r w:rsidRPr="00656AD3">
              <w:rPr>
                <w:bCs/>
                <w:sz w:val="24"/>
                <w:szCs w:val="24"/>
              </w:rPr>
              <w:t>That the proposed budgets damage the Council’s reputation</w:t>
            </w:r>
          </w:p>
        </w:tc>
        <w:tc>
          <w:tcPr>
            <w:tcW w:w="1200" w:type="dxa"/>
            <w:shd w:val="clear" w:color="auto" w:fill="auto"/>
          </w:tcPr>
          <w:p w:rsidR="000772E6" w:rsidRPr="00656AD3" w:rsidRDefault="000772E6" w:rsidP="000772E6">
            <w:pPr>
              <w:jc w:val="left"/>
              <w:rPr>
                <w:bCs/>
                <w:sz w:val="24"/>
                <w:szCs w:val="24"/>
              </w:rPr>
            </w:pPr>
            <w:r w:rsidRPr="00656AD3">
              <w:rPr>
                <w:bCs/>
                <w:sz w:val="24"/>
                <w:szCs w:val="24"/>
              </w:rPr>
              <w:t>Low</w:t>
            </w:r>
          </w:p>
        </w:tc>
        <w:tc>
          <w:tcPr>
            <w:tcW w:w="3480" w:type="dxa"/>
            <w:shd w:val="clear" w:color="auto" w:fill="auto"/>
          </w:tcPr>
          <w:p w:rsidR="000772E6" w:rsidRPr="00656AD3" w:rsidRDefault="000772E6" w:rsidP="000772E6">
            <w:pPr>
              <w:jc w:val="left"/>
              <w:rPr>
                <w:bCs/>
                <w:sz w:val="24"/>
                <w:szCs w:val="24"/>
              </w:rPr>
            </w:pPr>
            <w:r w:rsidRPr="00656AD3">
              <w:rPr>
                <w:bCs/>
                <w:sz w:val="24"/>
                <w:szCs w:val="24"/>
              </w:rPr>
              <w:t>The proposals are in line with the Council’s statutory and corporate objectives</w:t>
            </w:r>
          </w:p>
        </w:tc>
      </w:tr>
      <w:tr w:rsidR="000772E6" w:rsidRPr="00656AD3" w:rsidTr="00916E63">
        <w:tc>
          <w:tcPr>
            <w:tcW w:w="1680" w:type="dxa"/>
            <w:shd w:val="clear" w:color="auto" w:fill="auto"/>
          </w:tcPr>
          <w:p w:rsidR="000772E6" w:rsidRPr="00656AD3" w:rsidRDefault="000772E6" w:rsidP="000772E6">
            <w:pPr>
              <w:jc w:val="left"/>
              <w:rPr>
                <w:b/>
                <w:bCs/>
                <w:sz w:val="24"/>
                <w:szCs w:val="24"/>
              </w:rPr>
            </w:pPr>
            <w:r w:rsidRPr="00656AD3">
              <w:rPr>
                <w:b/>
                <w:bCs/>
                <w:sz w:val="24"/>
                <w:szCs w:val="24"/>
              </w:rPr>
              <w:t>Employee Relations</w:t>
            </w:r>
          </w:p>
        </w:tc>
        <w:tc>
          <w:tcPr>
            <w:tcW w:w="2760" w:type="dxa"/>
            <w:shd w:val="clear" w:color="auto" w:fill="auto"/>
          </w:tcPr>
          <w:p w:rsidR="000772E6" w:rsidRPr="00656AD3" w:rsidRDefault="000772E6" w:rsidP="000772E6">
            <w:pPr>
              <w:jc w:val="left"/>
              <w:rPr>
                <w:bCs/>
                <w:sz w:val="24"/>
                <w:szCs w:val="24"/>
              </w:rPr>
            </w:pPr>
            <w:r w:rsidRPr="00656AD3">
              <w:rPr>
                <w:bCs/>
                <w:sz w:val="24"/>
                <w:szCs w:val="24"/>
              </w:rPr>
              <w:t>Employee relations may become strained as a result of budget proposals for savings and efficiencies</w:t>
            </w:r>
          </w:p>
        </w:tc>
        <w:tc>
          <w:tcPr>
            <w:tcW w:w="1200" w:type="dxa"/>
            <w:shd w:val="clear" w:color="auto" w:fill="auto"/>
          </w:tcPr>
          <w:p w:rsidR="000772E6" w:rsidRPr="00656AD3" w:rsidRDefault="000772E6" w:rsidP="000772E6">
            <w:pPr>
              <w:jc w:val="left"/>
              <w:rPr>
                <w:bCs/>
                <w:sz w:val="24"/>
                <w:szCs w:val="24"/>
              </w:rPr>
            </w:pPr>
            <w:r w:rsidRPr="00656AD3">
              <w:rPr>
                <w:bCs/>
                <w:sz w:val="24"/>
                <w:szCs w:val="24"/>
              </w:rPr>
              <w:t>Medium</w:t>
            </w:r>
          </w:p>
        </w:tc>
        <w:tc>
          <w:tcPr>
            <w:tcW w:w="3480" w:type="dxa"/>
            <w:shd w:val="clear" w:color="auto" w:fill="auto"/>
          </w:tcPr>
          <w:p w:rsidR="000772E6" w:rsidRPr="00656AD3" w:rsidRDefault="000772E6" w:rsidP="000772E6">
            <w:pPr>
              <w:jc w:val="left"/>
              <w:rPr>
                <w:bCs/>
                <w:sz w:val="24"/>
                <w:szCs w:val="24"/>
              </w:rPr>
            </w:pPr>
            <w:r w:rsidRPr="00656AD3">
              <w:rPr>
                <w:bCs/>
                <w:sz w:val="24"/>
                <w:szCs w:val="24"/>
              </w:rPr>
              <w:t>Communication and consultation with Trade Unions and employees as affected</w:t>
            </w:r>
          </w:p>
        </w:tc>
      </w:tr>
    </w:tbl>
    <w:p w:rsidR="00611F1A" w:rsidRDefault="00611F1A"/>
    <w:p w:rsidR="007C72A1" w:rsidRDefault="007C72A1" w:rsidP="0025396B">
      <w:pPr>
        <w:jc w:val="left"/>
        <w:rPr>
          <w:b/>
          <w:sz w:val="24"/>
          <w:szCs w:val="24"/>
        </w:rPr>
      </w:pPr>
    </w:p>
    <w:p w:rsidR="00D40D72" w:rsidRDefault="00D40D72" w:rsidP="0025396B">
      <w:pPr>
        <w:jc w:val="left"/>
        <w:rPr>
          <w:b/>
          <w:sz w:val="24"/>
          <w:szCs w:val="24"/>
        </w:rPr>
      </w:pPr>
    </w:p>
    <w:p w:rsidR="00D40D72" w:rsidRPr="00656AD3" w:rsidRDefault="00D40D72" w:rsidP="0025396B">
      <w:pPr>
        <w:jc w:val="left"/>
        <w:rPr>
          <w:b/>
          <w:sz w:val="24"/>
          <w:szCs w:val="24"/>
        </w:rPr>
      </w:pPr>
    </w:p>
    <w:p w:rsidR="0089260C" w:rsidRPr="00656AD3" w:rsidRDefault="007B16CE" w:rsidP="0073669D">
      <w:pPr>
        <w:ind w:left="851" w:hanging="851"/>
        <w:jc w:val="left"/>
        <w:outlineLvl w:val="0"/>
        <w:rPr>
          <w:b/>
          <w:sz w:val="24"/>
          <w:szCs w:val="24"/>
        </w:rPr>
      </w:pPr>
      <w:r w:rsidRPr="00656AD3">
        <w:rPr>
          <w:b/>
          <w:sz w:val="24"/>
          <w:szCs w:val="24"/>
        </w:rPr>
        <w:t>6</w:t>
      </w:r>
      <w:r w:rsidR="0089260C" w:rsidRPr="00656AD3">
        <w:rPr>
          <w:b/>
          <w:sz w:val="24"/>
          <w:szCs w:val="24"/>
        </w:rPr>
        <w:t>.</w:t>
      </w:r>
      <w:r w:rsidR="0089260C" w:rsidRPr="00656AD3">
        <w:rPr>
          <w:b/>
          <w:sz w:val="24"/>
          <w:szCs w:val="24"/>
        </w:rPr>
        <w:tab/>
        <w:t>ALIGNMENT TO COUNCIL PRIORITIES</w:t>
      </w:r>
    </w:p>
    <w:p w:rsidR="00BE210E" w:rsidRPr="00656AD3" w:rsidRDefault="00BE210E" w:rsidP="0073669D">
      <w:pPr>
        <w:ind w:hanging="851"/>
        <w:jc w:val="left"/>
        <w:rPr>
          <w:sz w:val="24"/>
          <w:szCs w:val="24"/>
        </w:rPr>
      </w:pPr>
    </w:p>
    <w:p w:rsidR="00B76F23" w:rsidRPr="00656AD3" w:rsidRDefault="00495589" w:rsidP="0073669D">
      <w:pPr>
        <w:ind w:left="851" w:hanging="851"/>
        <w:jc w:val="left"/>
        <w:rPr>
          <w:sz w:val="24"/>
          <w:szCs w:val="24"/>
        </w:rPr>
      </w:pPr>
      <w:r w:rsidRPr="00656AD3">
        <w:rPr>
          <w:sz w:val="24"/>
          <w:szCs w:val="24"/>
        </w:rPr>
        <w:t>6.1</w:t>
      </w:r>
      <w:r w:rsidRPr="00656AD3">
        <w:rPr>
          <w:sz w:val="24"/>
          <w:szCs w:val="24"/>
        </w:rPr>
        <w:tab/>
      </w:r>
      <w:r w:rsidR="00256B13" w:rsidRPr="00372FEA">
        <w:rPr>
          <w:sz w:val="24"/>
          <w:szCs w:val="24"/>
        </w:rPr>
        <w:t xml:space="preserve">The proposals for this budget have been developed in line with the Council’s priorities as stated in the </w:t>
      </w:r>
      <w:r w:rsidR="00980AE0">
        <w:rPr>
          <w:sz w:val="24"/>
          <w:szCs w:val="24"/>
        </w:rPr>
        <w:t xml:space="preserve">strategy </w:t>
      </w:r>
      <w:proofErr w:type="gramStart"/>
      <w:r w:rsidR="00372FEA" w:rsidRPr="003B0E66">
        <w:rPr>
          <w:b/>
          <w:sz w:val="24"/>
          <w:szCs w:val="24"/>
        </w:rPr>
        <w:t>Towards</w:t>
      </w:r>
      <w:proofErr w:type="gramEnd"/>
      <w:r w:rsidR="00372FEA" w:rsidRPr="003B0E66">
        <w:rPr>
          <w:b/>
          <w:sz w:val="24"/>
          <w:szCs w:val="24"/>
        </w:rPr>
        <w:t xml:space="preserve"> 2030: A Strategy for Mansfield</w:t>
      </w:r>
      <w:r w:rsidR="00A43150" w:rsidRPr="00372FEA">
        <w:rPr>
          <w:sz w:val="24"/>
          <w:szCs w:val="24"/>
        </w:rPr>
        <w:t>.</w:t>
      </w:r>
    </w:p>
    <w:p w:rsidR="0089260C" w:rsidRPr="00656AD3" w:rsidRDefault="0089260C" w:rsidP="0073669D">
      <w:pPr>
        <w:ind w:left="851" w:hanging="851"/>
        <w:jc w:val="left"/>
        <w:rPr>
          <w:sz w:val="24"/>
          <w:szCs w:val="24"/>
        </w:rPr>
      </w:pPr>
    </w:p>
    <w:p w:rsidR="00295776" w:rsidRPr="00656AD3" w:rsidRDefault="00295776" w:rsidP="0073669D">
      <w:pPr>
        <w:ind w:left="851" w:hanging="851"/>
        <w:jc w:val="left"/>
        <w:rPr>
          <w:sz w:val="24"/>
          <w:szCs w:val="24"/>
        </w:rPr>
      </w:pPr>
    </w:p>
    <w:p w:rsidR="00BE210E" w:rsidRPr="00656AD3" w:rsidRDefault="007B16CE" w:rsidP="0073669D">
      <w:pPr>
        <w:ind w:left="851" w:hanging="851"/>
        <w:jc w:val="left"/>
        <w:rPr>
          <w:b/>
          <w:sz w:val="24"/>
          <w:szCs w:val="24"/>
        </w:rPr>
      </w:pPr>
      <w:r w:rsidRPr="00656AD3">
        <w:rPr>
          <w:b/>
          <w:sz w:val="24"/>
          <w:szCs w:val="24"/>
        </w:rPr>
        <w:t>7</w:t>
      </w:r>
      <w:r w:rsidR="00B920DF" w:rsidRPr="00656AD3">
        <w:rPr>
          <w:b/>
          <w:sz w:val="24"/>
          <w:szCs w:val="24"/>
        </w:rPr>
        <w:t>.</w:t>
      </w:r>
      <w:r w:rsidR="00B920DF" w:rsidRPr="00656AD3">
        <w:rPr>
          <w:b/>
          <w:sz w:val="24"/>
          <w:szCs w:val="24"/>
        </w:rPr>
        <w:tab/>
        <w:t>I</w:t>
      </w:r>
      <w:r w:rsidR="00BE210E" w:rsidRPr="00656AD3">
        <w:rPr>
          <w:b/>
          <w:sz w:val="24"/>
          <w:szCs w:val="24"/>
        </w:rPr>
        <w:t xml:space="preserve">MPLICATIONS </w:t>
      </w:r>
    </w:p>
    <w:p w:rsidR="00BE210E" w:rsidRPr="00656AD3" w:rsidRDefault="00BE210E" w:rsidP="0073669D">
      <w:pPr>
        <w:ind w:left="851" w:hanging="851"/>
        <w:jc w:val="left"/>
        <w:rPr>
          <w:sz w:val="24"/>
          <w:szCs w:val="24"/>
        </w:rPr>
      </w:pPr>
    </w:p>
    <w:p w:rsidR="007B16CE" w:rsidRPr="00656AD3" w:rsidRDefault="007B16CE" w:rsidP="0073669D">
      <w:pPr>
        <w:ind w:left="851" w:hanging="851"/>
        <w:jc w:val="left"/>
        <w:rPr>
          <w:rFonts w:cs="Arial"/>
          <w:sz w:val="24"/>
          <w:szCs w:val="24"/>
        </w:rPr>
      </w:pPr>
      <w:r w:rsidRPr="00656AD3">
        <w:rPr>
          <w:sz w:val="24"/>
          <w:szCs w:val="24"/>
        </w:rPr>
        <w:t>(a)</w:t>
      </w:r>
      <w:r w:rsidRPr="00656AD3">
        <w:rPr>
          <w:sz w:val="24"/>
          <w:szCs w:val="24"/>
        </w:rPr>
        <w:tab/>
        <w:t xml:space="preserve">Relevant Legislation – </w:t>
      </w:r>
      <w:r w:rsidR="00C9136D" w:rsidRPr="00656AD3">
        <w:rPr>
          <w:rFonts w:cs="Arial"/>
          <w:sz w:val="24"/>
          <w:szCs w:val="24"/>
        </w:rPr>
        <w:t xml:space="preserve">It is a statutory requirement under Section 33 of the Local Government Finance Act 1992, for the Council to produce a balanced budget.  </w:t>
      </w:r>
    </w:p>
    <w:p w:rsidR="00FD3010" w:rsidRPr="00656AD3" w:rsidRDefault="00FD3010" w:rsidP="0073669D">
      <w:pPr>
        <w:ind w:left="720" w:hanging="851"/>
        <w:jc w:val="left"/>
        <w:rPr>
          <w:rFonts w:cs="Arial"/>
          <w:sz w:val="24"/>
          <w:szCs w:val="24"/>
        </w:rPr>
      </w:pPr>
    </w:p>
    <w:p w:rsidR="00FD3010" w:rsidRPr="00656AD3" w:rsidRDefault="00FD3010" w:rsidP="0073669D">
      <w:pPr>
        <w:ind w:left="1134" w:hanging="283"/>
        <w:jc w:val="left"/>
        <w:rPr>
          <w:rFonts w:cs="Arial"/>
          <w:sz w:val="24"/>
          <w:szCs w:val="24"/>
        </w:rPr>
      </w:pPr>
      <w:r w:rsidRPr="00656AD3">
        <w:rPr>
          <w:rFonts w:cs="Arial"/>
          <w:sz w:val="24"/>
          <w:szCs w:val="24"/>
        </w:rPr>
        <w:t>The Council’s budget also adheres to the following legislation:</w:t>
      </w:r>
    </w:p>
    <w:p w:rsidR="00FD3010" w:rsidRPr="00656AD3" w:rsidRDefault="00FD3010" w:rsidP="00C54396">
      <w:pPr>
        <w:numPr>
          <w:ilvl w:val="1"/>
          <w:numId w:val="1"/>
        </w:numPr>
        <w:ind w:left="1134" w:hanging="283"/>
        <w:jc w:val="left"/>
        <w:rPr>
          <w:rFonts w:cs="Arial"/>
          <w:sz w:val="24"/>
          <w:szCs w:val="24"/>
        </w:rPr>
      </w:pPr>
      <w:r w:rsidRPr="00656AD3">
        <w:rPr>
          <w:rFonts w:cs="Arial"/>
          <w:sz w:val="24"/>
          <w:szCs w:val="24"/>
        </w:rPr>
        <w:t>Local Government Act 1972</w:t>
      </w:r>
    </w:p>
    <w:p w:rsidR="00FD3010" w:rsidRPr="00656AD3" w:rsidRDefault="00FD3010" w:rsidP="00C54396">
      <w:pPr>
        <w:numPr>
          <w:ilvl w:val="1"/>
          <w:numId w:val="1"/>
        </w:numPr>
        <w:ind w:left="1134" w:hanging="283"/>
        <w:jc w:val="left"/>
        <w:rPr>
          <w:rFonts w:cs="Arial"/>
          <w:sz w:val="24"/>
          <w:szCs w:val="24"/>
        </w:rPr>
      </w:pPr>
      <w:r w:rsidRPr="00656AD3">
        <w:rPr>
          <w:rFonts w:cs="Arial"/>
          <w:sz w:val="24"/>
          <w:szCs w:val="24"/>
        </w:rPr>
        <w:t>Local Government Finance Act 1972</w:t>
      </w:r>
    </w:p>
    <w:p w:rsidR="00FD3010" w:rsidRPr="00656AD3" w:rsidRDefault="00FD3010" w:rsidP="00C54396">
      <w:pPr>
        <w:numPr>
          <w:ilvl w:val="1"/>
          <w:numId w:val="1"/>
        </w:numPr>
        <w:ind w:left="1134" w:hanging="283"/>
        <w:jc w:val="left"/>
        <w:rPr>
          <w:rFonts w:cs="Arial"/>
          <w:sz w:val="24"/>
          <w:szCs w:val="24"/>
        </w:rPr>
      </w:pPr>
      <w:r w:rsidRPr="00656AD3">
        <w:rPr>
          <w:rFonts w:cs="Arial"/>
          <w:sz w:val="24"/>
          <w:szCs w:val="24"/>
        </w:rPr>
        <w:t>Local Government Finance Act 1988</w:t>
      </w:r>
    </w:p>
    <w:p w:rsidR="00FD3010" w:rsidRPr="00656AD3" w:rsidRDefault="00FD3010" w:rsidP="00C54396">
      <w:pPr>
        <w:numPr>
          <w:ilvl w:val="1"/>
          <w:numId w:val="1"/>
        </w:numPr>
        <w:ind w:left="1134" w:hanging="283"/>
        <w:jc w:val="left"/>
        <w:rPr>
          <w:rFonts w:cs="Arial"/>
          <w:sz w:val="24"/>
          <w:szCs w:val="24"/>
        </w:rPr>
      </w:pPr>
      <w:r w:rsidRPr="00656AD3">
        <w:rPr>
          <w:rFonts w:cs="Arial"/>
          <w:sz w:val="24"/>
          <w:szCs w:val="24"/>
        </w:rPr>
        <w:t>Local Government and Housing Act 1989</w:t>
      </w:r>
    </w:p>
    <w:p w:rsidR="00BB3F6B" w:rsidRPr="00656AD3" w:rsidRDefault="00BB3F6B" w:rsidP="00C54396">
      <w:pPr>
        <w:numPr>
          <w:ilvl w:val="1"/>
          <w:numId w:val="1"/>
        </w:numPr>
        <w:ind w:left="1134" w:hanging="283"/>
        <w:jc w:val="left"/>
        <w:rPr>
          <w:rFonts w:cs="Arial"/>
          <w:sz w:val="24"/>
          <w:szCs w:val="24"/>
        </w:rPr>
      </w:pPr>
      <w:r w:rsidRPr="00656AD3">
        <w:rPr>
          <w:rFonts w:cs="Arial"/>
          <w:color w:val="000000"/>
          <w:sz w:val="24"/>
          <w:szCs w:val="24"/>
        </w:rPr>
        <w:t>Local Authorities (Functions and Responsibilities) (England) Regulations 2000</w:t>
      </w:r>
    </w:p>
    <w:p w:rsidR="00FD3010" w:rsidRPr="00656AD3" w:rsidRDefault="00FD3010" w:rsidP="00C54396">
      <w:pPr>
        <w:numPr>
          <w:ilvl w:val="1"/>
          <w:numId w:val="1"/>
        </w:numPr>
        <w:ind w:left="1134" w:hanging="283"/>
        <w:jc w:val="left"/>
        <w:rPr>
          <w:rFonts w:cs="Arial"/>
          <w:sz w:val="24"/>
          <w:szCs w:val="24"/>
        </w:rPr>
      </w:pPr>
      <w:r w:rsidRPr="00656AD3">
        <w:rPr>
          <w:rFonts w:cs="Arial"/>
          <w:sz w:val="24"/>
          <w:szCs w:val="24"/>
        </w:rPr>
        <w:t>The Local Authorities (Capital Finance and Accounting)(England) Regulations 2003</w:t>
      </w:r>
    </w:p>
    <w:p w:rsidR="007B16CE" w:rsidRPr="00656AD3" w:rsidRDefault="007B16CE" w:rsidP="0073669D">
      <w:pPr>
        <w:ind w:left="720" w:hanging="851"/>
        <w:jc w:val="left"/>
        <w:rPr>
          <w:sz w:val="24"/>
          <w:szCs w:val="24"/>
        </w:rPr>
      </w:pPr>
    </w:p>
    <w:p w:rsidR="007B16CE" w:rsidRPr="00656AD3" w:rsidRDefault="007B16CE" w:rsidP="0073669D">
      <w:pPr>
        <w:ind w:left="851" w:hanging="851"/>
        <w:jc w:val="left"/>
        <w:rPr>
          <w:sz w:val="24"/>
          <w:szCs w:val="24"/>
        </w:rPr>
      </w:pPr>
      <w:r w:rsidRPr="00656AD3">
        <w:rPr>
          <w:sz w:val="24"/>
          <w:szCs w:val="24"/>
        </w:rPr>
        <w:t>(b)</w:t>
      </w:r>
      <w:r w:rsidRPr="00656AD3">
        <w:rPr>
          <w:sz w:val="24"/>
          <w:szCs w:val="24"/>
        </w:rPr>
        <w:tab/>
        <w:t xml:space="preserve">Human Rights – </w:t>
      </w:r>
      <w:r w:rsidR="00FD3010" w:rsidRPr="00656AD3">
        <w:rPr>
          <w:sz w:val="24"/>
          <w:szCs w:val="24"/>
        </w:rPr>
        <w:t>No impact</w:t>
      </w:r>
    </w:p>
    <w:p w:rsidR="007B16CE" w:rsidRPr="00656AD3" w:rsidRDefault="007B16CE" w:rsidP="0073669D">
      <w:pPr>
        <w:ind w:left="851" w:hanging="851"/>
        <w:jc w:val="left"/>
        <w:rPr>
          <w:sz w:val="24"/>
          <w:szCs w:val="24"/>
        </w:rPr>
      </w:pPr>
    </w:p>
    <w:p w:rsidR="007B16CE" w:rsidRPr="00656AD3" w:rsidRDefault="007B16CE" w:rsidP="0073669D">
      <w:pPr>
        <w:ind w:left="851" w:hanging="851"/>
        <w:jc w:val="left"/>
        <w:rPr>
          <w:sz w:val="24"/>
          <w:szCs w:val="24"/>
        </w:rPr>
      </w:pPr>
      <w:r w:rsidRPr="00656AD3">
        <w:rPr>
          <w:sz w:val="24"/>
          <w:szCs w:val="24"/>
        </w:rPr>
        <w:t>(c)</w:t>
      </w:r>
      <w:r w:rsidRPr="00656AD3">
        <w:rPr>
          <w:sz w:val="24"/>
          <w:szCs w:val="24"/>
        </w:rPr>
        <w:tab/>
        <w:t xml:space="preserve">Equality and Diversity – </w:t>
      </w:r>
      <w:r w:rsidR="00770D91" w:rsidRPr="00656AD3">
        <w:rPr>
          <w:sz w:val="24"/>
          <w:szCs w:val="24"/>
        </w:rPr>
        <w:t xml:space="preserve">Equality Impact Assessments </w:t>
      </w:r>
      <w:r w:rsidR="00600EC5" w:rsidRPr="00656AD3">
        <w:rPr>
          <w:sz w:val="24"/>
          <w:szCs w:val="24"/>
        </w:rPr>
        <w:t>will be</w:t>
      </w:r>
      <w:r w:rsidR="00770D91" w:rsidRPr="00656AD3">
        <w:rPr>
          <w:sz w:val="24"/>
          <w:szCs w:val="24"/>
        </w:rPr>
        <w:t xml:space="preserve"> undertaken</w:t>
      </w:r>
      <w:r w:rsidR="00B81AF9" w:rsidRPr="00656AD3">
        <w:rPr>
          <w:sz w:val="24"/>
          <w:szCs w:val="24"/>
        </w:rPr>
        <w:t xml:space="preserve"> by services where cuts and efficiency savings may impact on the level and quality of services received by residents and businesses within Mansfield.  </w:t>
      </w:r>
    </w:p>
    <w:p w:rsidR="007B16CE" w:rsidRPr="00656AD3" w:rsidRDefault="007B16CE" w:rsidP="0073669D">
      <w:pPr>
        <w:ind w:left="851" w:hanging="851"/>
        <w:jc w:val="left"/>
        <w:rPr>
          <w:sz w:val="24"/>
          <w:szCs w:val="24"/>
        </w:rPr>
      </w:pPr>
    </w:p>
    <w:p w:rsidR="00C9136D" w:rsidRPr="00656AD3" w:rsidRDefault="007B16CE" w:rsidP="0073669D">
      <w:pPr>
        <w:ind w:left="851" w:hanging="851"/>
        <w:jc w:val="left"/>
        <w:rPr>
          <w:rFonts w:cs="Arial"/>
          <w:sz w:val="24"/>
          <w:szCs w:val="24"/>
        </w:rPr>
      </w:pPr>
      <w:r w:rsidRPr="00656AD3">
        <w:rPr>
          <w:sz w:val="24"/>
          <w:szCs w:val="24"/>
        </w:rPr>
        <w:t>(d)</w:t>
      </w:r>
      <w:r w:rsidRPr="00656AD3">
        <w:rPr>
          <w:sz w:val="24"/>
          <w:szCs w:val="24"/>
        </w:rPr>
        <w:tab/>
        <w:t xml:space="preserve">Climate change and environmental sustainability – </w:t>
      </w:r>
      <w:r w:rsidR="00C9136D" w:rsidRPr="00656AD3">
        <w:rPr>
          <w:rFonts w:cs="Arial"/>
          <w:sz w:val="24"/>
          <w:szCs w:val="24"/>
        </w:rPr>
        <w:t xml:space="preserve">The revenue budget contains schemes which are designed to reduce the Council’s carbon footprint as well as reducing CO2 emissions across the district.  </w:t>
      </w:r>
    </w:p>
    <w:p w:rsidR="007B16CE" w:rsidRPr="00656AD3" w:rsidRDefault="007B16CE" w:rsidP="0073669D">
      <w:pPr>
        <w:ind w:left="851" w:hanging="851"/>
        <w:jc w:val="left"/>
        <w:rPr>
          <w:sz w:val="24"/>
          <w:szCs w:val="24"/>
        </w:rPr>
      </w:pPr>
    </w:p>
    <w:p w:rsidR="007B16CE" w:rsidRPr="00656AD3" w:rsidRDefault="007B16CE" w:rsidP="0073669D">
      <w:pPr>
        <w:ind w:left="851" w:hanging="851"/>
        <w:jc w:val="left"/>
        <w:rPr>
          <w:sz w:val="24"/>
          <w:szCs w:val="24"/>
        </w:rPr>
      </w:pPr>
      <w:r w:rsidRPr="00656AD3">
        <w:rPr>
          <w:sz w:val="24"/>
          <w:szCs w:val="24"/>
        </w:rPr>
        <w:t>(e)</w:t>
      </w:r>
      <w:r w:rsidRPr="00656AD3">
        <w:rPr>
          <w:sz w:val="24"/>
          <w:szCs w:val="24"/>
        </w:rPr>
        <w:tab/>
        <w:t xml:space="preserve">Crime and disorder – </w:t>
      </w:r>
      <w:r w:rsidR="00C9136D" w:rsidRPr="00656AD3">
        <w:rPr>
          <w:sz w:val="24"/>
          <w:szCs w:val="24"/>
        </w:rPr>
        <w:t>The revenue budget contains services which are designed to reduce crime and disorder.</w:t>
      </w:r>
    </w:p>
    <w:p w:rsidR="007B16CE" w:rsidRPr="00656AD3" w:rsidRDefault="007B16CE" w:rsidP="0073669D">
      <w:pPr>
        <w:ind w:left="851" w:hanging="851"/>
        <w:jc w:val="left"/>
        <w:rPr>
          <w:sz w:val="24"/>
          <w:szCs w:val="24"/>
        </w:rPr>
      </w:pPr>
    </w:p>
    <w:p w:rsidR="007B16CE" w:rsidRPr="00656AD3" w:rsidRDefault="007B16CE" w:rsidP="0073669D">
      <w:pPr>
        <w:ind w:left="851" w:hanging="851"/>
        <w:jc w:val="left"/>
        <w:rPr>
          <w:sz w:val="24"/>
          <w:szCs w:val="24"/>
        </w:rPr>
      </w:pPr>
      <w:r w:rsidRPr="00656AD3">
        <w:rPr>
          <w:sz w:val="24"/>
          <w:szCs w:val="24"/>
        </w:rPr>
        <w:t>(f)</w:t>
      </w:r>
      <w:r w:rsidRPr="00656AD3">
        <w:rPr>
          <w:sz w:val="24"/>
          <w:szCs w:val="24"/>
        </w:rPr>
        <w:tab/>
        <w:t xml:space="preserve">Budget/Resources – </w:t>
      </w:r>
      <w:r w:rsidR="007F7374" w:rsidRPr="00656AD3">
        <w:rPr>
          <w:sz w:val="24"/>
          <w:szCs w:val="24"/>
        </w:rPr>
        <w:t>Contained within the body of this report</w:t>
      </w:r>
      <w:r w:rsidR="00394C78">
        <w:rPr>
          <w:sz w:val="24"/>
          <w:szCs w:val="24"/>
        </w:rPr>
        <w:t>.</w:t>
      </w:r>
    </w:p>
    <w:p w:rsidR="00611F1A" w:rsidRDefault="00611F1A">
      <w:pPr>
        <w:jc w:val="left"/>
        <w:rPr>
          <w:b/>
          <w:sz w:val="24"/>
          <w:szCs w:val="24"/>
        </w:rPr>
      </w:pPr>
    </w:p>
    <w:p w:rsidR="00BB6240" w:rsidRDefault="00BB6240">
      <w:pPr>
        <w:jc w:val="left"/>
        <w:rPr>
          <w:b/>
          <w:sz w:val="24"/>
          <w:szCs w:val="24"/>
        </w:rPr>
      </w:pPr>
    </w:p>
    <w:p w:rsidR="00295776" w:rsidRPr="00656AD3" w:rsidRDefault="007F7374" w:rsidP="00331871">
      <w:pPr>
        <w:tabs>
          <w:tab w:val="left" w:pos="1701"/>
        </w:tabs>
        <w:ind w:left="720" w:hanging="720"/>
        <w:jc w:val="left"/>
        <w:rPr>
          <w:sz w:val="24"/>
          <w:szCs w:val="24"/>
        </w:rPr>
      </w:pPr>
      <w:r w:rsidRPr="00656AD3">
        <w:rPr>
          <w:b/>
          <w:sz w:val="24"/>
          <w:szCs w:val="24"/>
        </w:rPr>
        <w:t>8</w:t>
      </w:r>
      <w:r w:rsidR="000F67FD" w:rsidRPr="00656AD3">
        <w:rPr>
          <w:b/>
          <w:sz w:val="24"/>
          <w:szCs w:val="24"/>
        </w:rPr>
        <w:t>.</w:t>
      </w:r>
      <w:r w:rsidR="000F67FD" w:rsidRPr="00656AD3">
        <w:rPr>
          <w:b/>
          <w:sz w:val="24"/>
          <w:szCs w:val="24"/>
        </w:rPr>
        <w:tab/>
        <w:t>COMMENTS OF STATUTORY OFFICERS</w:t>
      </w:r>
    </w:p>
    <w:p w:rsidR="00295776" w:rsidRPr="00656AD3" w:rsidRDefault="00295776" w:rsidP="00331871">
      <w:pPr>
        <w:tabs>
          <w:tab w:val="left" w:pos="1701"/>
        </w:tabs>
        <w:ind w:left="720" w:hanging="720"/>
        <w:jc w:val="left"/>
        <w:rPr>
          <w:sz w:val="24"/>
          <w:szCs w:val="24"/>
        </w:rPr>
      </w:pPr>
    </w:p>
    <w:p w:rsidR="005F7CC3" w:rsidRPr="001A3322" w:rsidRDefault="001B1635" w:rsidP="001A3322">
      <w:pPr>
        <w:ind w:left="720" w:hanging="720"/>
        <w:rPr>
          <w:rFonts w:cs="Arial"/>
          <w:sz w:val="24"/>
          <w:szCs w:val="24"/>
        </w:rPr>
      </w:pPr>
      <w:r w:rsidRPr="00656AD3">
        <w:rPr>
          <w:sz w:val="24"/>
          <w:szCs w:val="24"/>
        </w:rPr>
        <w:t>(a</w:t>
      </w:r>
      <w:r w:rsidRPr="00ED0966">
        <w:rPr>
          <w:sz w:val="24"/>
          <w:szCs w:val="24"/>
        </w:rPr>
        <w:t>)</w:t>
      </w:r>
      <w:r w:rsidRPr="00ED0966">
        <w:rPr>
          <w:sz w:val="24"/>
          <w:szCs w:val="24"/>
        </w:rPr>
        <w:tab/>
        <w:t xml:space="preserve">Head of Paid Service – </w:t>
      </w:r>
      <w:r w:rsidR="001A3322">
        <w:rPr>
          <w:sz w:val="24"/>
          <w:szCs w:val="24"/>
        </w:rPr>
        <w:t>The report describes the many internal and external influences and pressures which affect the setting of the Council’s budget and also includes proposals as to how those challenges can be met.  It is important that the MTFP reflects the future challenges that the council faces and enables credible and deliverable plans to be developed based on the assumptions of future years budgets. It is also important that through the careful consideration and robust challenge by Overview and Scrutiny Committee the proposals ensure that a balanced budget can be achieved, which also protects services as far as possible, can be recommended to Council.</w:t>
      </w:r>
    </w:p>
    <w:p w:rsidR="00FF0214" w:rsidRPr="00ED0966" w:rsidRDefault="00FF0214" w:rsidP="00331871">
      <w:pPr>
        <w:tabs>
          <w:tab w:val="left" w:pos="1701"/>
        </w:tabs>
        <w:ind w:left="720" w:hanging="720"/>
        <w:jc w:val="left"/>
        <w:rPr>
          <w:sz w:val="24"/>
          <w:szCs w:val="24"/>
        </w:rPr>
      </w:pPr>
    </w:p>
    <w:p w:rsidR="002C529C" w:rsidRDefault="001B1635" w:rsidP="002C529C">
      <w:pPr>
        <w:ind w:left="709" w:hanging="709"/>
        <w:rPr>
          <w:rFonts w:cs="Arial"/>
          <w:sz w:val="24"/>
          <w:szCs w:val="24"/>
        </w:rPr>
      </w:pPr>
      <w:r w:rsidRPr="00ED0966">
        <w:rPr>
          <w:sz w:val="24"/>
          <w:szCs w:val="24"/>
        </w:rPr>
        <w:t>(b)</w:t>
      </w:r>
      <w:r w:rsidRPr="00ED0966">
        <w:rPr>
          <w:sz w:val="24"/>
          <w:szCs w:val="24"/>
        </w:rPr>
        <w:tab/>
      </w:r>
      <w:r w:rsidR="002C529C">
        <w:rPr>
          <w:rFonts w:cs="Arial"/>
          <w:sz w:val="24"/>
          <w:szCs w:val="24"/>
        </w:rPr>
        <w:t>Deputy Monitoring Officer – It is the responsibility of the Elected Mayor and the Executive to prepare and recommend annual budgets to the Council.  The Portfolio Holder for Corporate and Finance is authorised to consult with relevant Overview and Scrutiny Committee members on such issues. The Council’s Constitution contains Budget and Policy Framework Procedure Rules which must be followed when the Council sets its budget.</w:t>
      </w:r>
    </w:p>
    <w:p w:rsidR="002C529C" w:rsidRDefault="002C529C" w:rsidP="002C529C">
      <w:pPr>
        <w:ind w:left="720" w:hanging="720"/>
        <w:rPr>
          <w:rFonts w:cs="Arial"/>
          <w:sz w:val="24"/>
          <w:szCs w:val="24"/>
          <w:lang w:eastAsia="en-US"/>
        </w:rPr>
      </w:pPr>
    </w:p>
    <w:p w:rsidR="002C529C" w:rsidRDefault="002C529C" w:rsidP="002C529C">
      <w:pPr>
        <w:ind w:left="709"/>
        <w:rPr>
          <w:rFonts w:cs="Arial"/>
          <w:sz w:val="24"/>
          <w:szCs w:val="24"/>
        </w:rPr>
      </w:pPr>
      <w:r>
        <w:rPr>
          <w:rFonts w:cs="Arial"/>
          <w:sz w:val="24"/>
          <w:szCs w:val="24"/>
        </w:rPr>
        <w:t>When setting the budget the Council must be mindful of the potential impact on service users. Any consultation exercises which have been undertaken in the preparation of the 202</w:t>
      </w:r>
      <w:r w:rsidR="0097075D">
        <w:rPr>
          <w:rFonts w:cs="Arial"/>
          <w:sz w:val="24"/>
          <w:szCs w:val="24"/>
        </w:rPr>
        <w:t>3/24</w:t>
      </w:r>
      <w:r>
        <w:rPr>
          <w:rFonts w:cs="Arial"/>
          <w:sz w:val="24"/>
          <w:szCs w:val="24"/>
        </w:rPr>
        <w:t xml:space="preserve"> budget are relevant in this respect.</w:t>
      </w:r>
    </w:p>
    <w:p w:rsidR="002C529C" w:rsidRDefault="002C529C" w:rsidP="002C529C">
      <w:pPr>
        <w:rPr>
          <w:rFonts w:cs="Arial"/>
        </w:rPr>
      </w:pPr>
    </w:p>
    <w:p w:rsidR="002C529C" w:rsidRDefault="002C529C" w:rsidP="002C529C">
      <w:pPr>
        <w:ind w:left="709"/>
        <w:rPr>
          <w:rFonts w:cs="Arial"/>
          <w:sz w:val="24"/>
          <w:szCs w:val="24"/>
        </w:rPr>
      </w:pPr>
      <w:r>
        <w:rPr>
          <w:rFonts w:cs="Arial"/>
          <w:sz w:val="24"/>
          <w:szCs w:val="24"/>
        </w:rPr>
        <w:t>Section 149 of the Equality Act 2010 imposes an obligation on Members to have due regard to protecting and promoting the welfare and interests of persons who share a relevant protected characteristic (age; disability; gender re-assignment; marriage and civil partnership; pregnancy and maternity; race; religious or belief; sex and sexual orientation).</w:t>
      </w:r>
    </w:p>
    <w:p w:rsidR="002C529C" w:rsidRDefault="002C529C" w:rsidP="002C529C">
      <w:pPr>
        <w:pStyle w:val="ListParagraph"/>
        <w:spacing w:after="0"/>
        <w:rPr>
          <w:rFonts w:ascii="Arial" w:hAnsi="Arial" w:cs="Arial"/>
          <w:sz w:val="24"/>
          <w:szCs w:val="24"/>
        </w:rPr>
      </w:pPr>
    </w:p>
    <w:p w:rsidR="002C529C" w:rsidRDefault="002C529C" w:rsidP="002C529C">
      <w:pPr>
        <w:ind w:left="709"/>
        <w:rPr>
          <w:rFonts w:cs="Arial"/>
          <w:sz w:val="24"/>
          <w:szCs w:val="24"/>
        </w:rPr>
      </w:pPr>
      <w:r>
        <w:rPr>
          <w:rFonts w:cs="Arial"/>
          <w:sz w:val="24"/>
          <w:szCs w:val="24"/>
        </w:rPr>
        <w:t>Case law has clarified that there is no obligation on a local authority to carry out equality impact analysis of the high level strategic budget setting process. Once the budget has been set and as spending decisions are made service by service, and as policies are developed within the constraints of the budgetary framework, proposals will be further considered by Members and will be subject to an appropriate and proportionate assessment of any equality implications as well as consultation, where appropriate.</w:t>
      </w:r>
    </w:p>
    <w:p w:rsidR="005F7CC3" w:rsidRPr="00ED0966" w:rsidRDefault="005F7CC3" w:rsidP="002C529C">
      <w:pPr>
        <w:tabs>
          <w:tab w:val="left" w:pos="1701"/>
        </w:tabs>
        <w:ind w:left="709" w:hanging="709"/>
        <w:jc w:val="left"/>
        <w:rPr>
          <w:sz w:val="24"/>
          <w:szCs w:val="24"/>
        </w:rPr>
      </w:pPr>
    </w:p>
    <w:p w:rsidR="000F67FD" w:rsidRPr="00ED0966" w:rsidRDefault="000F67FD" w:rsidP="0073669D">
      <w:pPr>
        <w:ind w:left="720" w:hanging="720"/>
        <w:jc w:val="left"/>
        <w:rPr>
          <w:sz w:val="24"/>
          <w:szCs w:val="24"/>
        </w:rPr>
      </w:pPr>
      <w:r w:rsidRPr="00ED0966">
        <w:rPr>
          <w:sz w:val="24"/>
          <w:szCs w:val="24"/>
        </w:rPr>
        <w:t>(c)</w:t>
      </w:r>
      <w:r w:rsidR="00735602" w:rsidRPr="00ED0966">
        <w:rPr>
          <w:sz w:val="24"/>
          <w:szCs w:val="24"/>
        </w:rPr>
        <w:tab/>
      </w:r>
      <w:r w:rsidR="00A93319" w:rsidRPr="00ED0966">
        <w:rPr>
          <w:sz w:val="24"/>
          <w:szCs w:val="24"/>
        </w:rPr>
        <w:t>Section 151 Officer</w:t>
      </w:r>
      <w:r w:rsidR="001B1635" w:rsidRPr="00ED0966">
        <w:rPr>
          <w:sz w:val="24"/>
          <w:szCs w:val="24"/>
        </w:rPr>
        <w:t xml:space="preserve"> </w:t>
      </w:r>
      <w:r w:rsidR="001D07EA" w:rsidRPr="00ED0966">
        <w:rPr>
          <w:sz w:val="24"/>
          <w:szCs w:val="24"/>
        </w:rPr>
        <w:t>–</w:t>
      </w:r>
      <w:r w:rsidR="001B1635" w:rsidRPr="00ED0966">
        <w:rPr>
          <w:sz w:val="24"/>
          <w:szCs w:val="24"/>
        </w:rPr>
        <w:t xml:space="preserve"> </w:t>
      </w:r>
      <w:r w:rsidR="00FD3010" w:rsidRPr="00ED0966">
        <w:rPr>
          <w:sz w:val="24"/>
          <w:szCs w:val="24"/>
        </w:rPr>
        <w:t xml:space="preserve">This report sets out the projected </w:t>
      </w:r>
      <w:r w:rsidR="002E3AA9">
        <w:rPr>
          <w:sz w:val="24"/>
          <w:szCs w:val="24"/>
        </w:rPr>
        <w:t xml:space="preserve">balanced budget 2023/24, and budget deficit for 2024/25 </w:t>
      </w:r>
      <w:r w:rsidR="0029093D" w:rsidRPr="00ED0966">
        <w:rPr>
          <w:sz w:val="24"/>
          <w:szCs w:val="24"/>
        </w:rPr>
        <w:t>to 202</w:t>
      </w:r>
      <w:r w:rsidR="0097075D">
        <w:rPr>
          <w:sz w:val="24"/>
          <w:szCs w:val="24"/>
        </w:rPr>
        <w:t>5</w:t>
      </w:r>
      <w:r w:rsidR="0029093D" w:rsidRPr="00ED0966">
        <w:rPr>
          <w:sz w:val="24"/>
          <w:szCs w:val="24"/>
        </w:rPr>
        <w:t>/2</w:t>
      </w:r>
      <w:r w:rsidR="0097075D">
        <w:rPr>
          <w:sz w:val="24"/>
          <w:szCs w:val="24"/>
        </w:rPr>
        <w:t>6</w:t>
      </w:r>
      <w:r w:rsidR="00FD3010" w:rsidRPr="00ED0966">
        <w:rPr>
          <w:sz w:val="24"/>
          <w:szCs w:val="24"/>
        </w:rPr>
        <w:t xml:space="preserve">.  There will be an on-going </w:t>
      </w:r>
      <w:r w:rsidR="000412F1" w:rsidRPr="00ED0966">
        <w:rPr>
          <w:sz w:val="24"/>
          <w:szCs w:val="24"/>
        </w:rPr>
        <w:t xml:space="preserve">deficit </w:t>
      </w:r>
      <w:r w:rsidR="00FD3010" w:rsidRPr="00ED0966">
        <w:rPr>
          <w:sz w:val="24"/>
          <w:szCs w:val="24"/>
        </w:rPr>
        <w:t>in future years as public sector funding becomes tighter.  The Council needs to be prepared to make decisions regarding the services provided, the level at which they are provided and the way in which they are provided if it is to maintain balanced and sustainable budgets for the future and ensure that priorities are delivered.</w:t>
      </w:r>
    </w:p>
    <w:p w:rsidR="001D07EA" w:rsidRPr="00ED0966" w:rsidRDefault="001D07EA" w:rsidP="0073669D">
      <w:pPr>
        <w:ind w:left="720" w:hanging="720"/>
        <w:jc w:val="left"/>
        <w:rPr>
          <w:sz w:val="24"/>
          <w:szCs w:val="24"/>
        </w:rPr>
      </w:pPr>
    </w:p>
    <w:p w:rsidR="001D07EA" w:rsidRPr="00ED0966" w:rsidRDefault="001D07EA" w:rsidP="0073669D">
      <w:pPr>
        <w:ind w:left="720"/>
        <w:jc w:val="left"/>
        <w:rPr>
          <w:sz w:val="24"/>
          <w:szCs w:val="24"/>
        </w:rPr>
      </w:pPr>
      <w:r w:rsidRPr="00ED0966">
        <w:rPr>
          <w:sz w:val="24"/>
          <w:szCs w:val="24"/>
        </w:rPr>
        <w:t xml:space="preserve">Robustness of budgets – As S151 Officer, I have a duty to comment on the robustness of the budgets proposed. </w:t>
      </w:r>
      <w:r w:rsidR="00E20C17" w:rsidRPr="00ED0966">
        <w:rPr>
          <w:sz w:val="24"/>
          <w:szCs w:val="24"/>
        </w:rPr>
        <w:t xml:space="preserve">  At this stage further work is necessary to</w:t>
      </w:r>
      <w:r w:rsidR="00F5191E" w:rsidRPr="00ED0966">
        <w:rPr>
          <w:sz w:val="24"/>
          <w:szCs w:val="24"/>
        </w:rPr>
        <w:t xml:space="preserve"> </w:t>
      </w:r>
      <w:r w:rsidR="00E20C17" w:rsidRPr="00ED0966">
        <w:rPr>
          <w:sz w:val="24"/>
          <w:szCs w:val="24"/>
        </w:rPr>
        <w:t>provide</w:t>
      </w:r>
      <w:r w:rsidR="00F5191E" w:rsidRPr="00ED0966">
        <w:rPr>
          <w:sz w:val="24"/>
          <w:szCs w:val="24"/>
        </w:rPr>
        <w:t xml:space="preserve"> the balanced budget required.  A range of areas have been identified which will need to be quantified.  T</w:t>
      </w:r>
      <w:r w:rsidRPr="00ED0966">
        <w:rPr>
          <w:sz w:val="24"/>
          <w:szCs w:val="24"/>
        </w:rPr>
        <w:t xml:space="preserve">he mechanisms are in place to ensure this. </w:t>
      </w:r>
    </w:p>
    <w:p w:rsidR="001D07EA" w:rsidRPr="00ED0966" w:rsidRDefault="001D07EA" w:rsidP="0073669D">
      <w:pPr>
        <w:ind w:left="720" w:hanging="720"/>
        <w:jc w:val="left"/>
        <w:rPr>
          <w:sz w:val="24"/>
          <w:szCs w:val="24"/>
        </w:rPr>
      </w:pPr>
    </w:p>
    <w:p w:rsidR="001D07EA" w:rsidRPr="00ED0966" w:rsidRDefault="001D07EA" w:rsidP="0073669D">
      <w:pPr>
        <w:ind w:left="720"/>
        <w:jc w:val="left"/>
        <w:rPr>
          <w:sz w:val="24"/>
          <w:szCs w:val="24"/>
        </w:rPr>
      </w:pPr>
      <w:r w:rsidRPr="00ED0966">
        <w:rPr>
          <w:sz w:val="24"/>
          <w:szCs w:val="24"/>
        </w:rPr>
        <w:t>The process carried out and the assumptions made in developing the budgets are robust with the necessary level of quality checking in place to minimise the risk of error or omission.</w:t>
      </w:r>
    </w:p>
    <w:p w:rsidR="00E74DFE" w:rsidRPr="00ED0966" w:rsidRDefault="00E74DFE" w:rsidP="0073669D">
      <w:pPr>
        <w:ind w:left="720"/>
        <w:jc w:val="left"/>
        <w:rPr>
          <w:sz w:val="24"/>
          <w:szCs w:val="24"/>
        </w:rPr>
      </w:pPr>
    </w:p>
    <w:p w:rsidR="001D07EA" w:rsidRPr="00ED0966" w:rsidRDefault="001D07EA" w:rsidP="0073669D">
      <w:pPr>
        <w:ind w:left="720"/>
        <w:jc w:val="left"/>
        <w:rPr>
          <w:sz w:val="24"/>
          <w:szCs w:val="24"/>
        </w:rPr>
      </w:pPr>
      <w:r w:rsidRPr="00ED0966">
        <w:rPr>
          <w:sz w:val="24"/>
          <w:szCs w:val="24"/>
        </w:rPr>
        <w:t>Adequacy of reserves – I am also required to comment on the level of reserves</w:t>
      </w:r>
      <w:r w:rsidR="00A03CB1" w:rsidRPr="00ED0966">
        <w:rPr>
          <w:sz w:val="24"/>
          <w:szCs w:val="24"/>
        </w:rPr>
        <w:t xml:space="preserve">.  </w:t>
      </w:r>
      <w:r w:rsidRPr="00ED0966">
        <w:rPr>
          <w:sz w:val="24"/>
          <w:szCs w:val="24"/>
        </w:rPr>
        <w:t>I am satisfied that the level of reserves is adequate to meet contingencies and that the proposed budgets do nothing to reduce these below the minimum level assessed as being necessary.</w:t>
      </w:r>
      <w:r w:rsidR="00F5191E" w:rsidRPr="00ED0966">
        <w:rPr>
          <w:sz w:val="24"/>
          <w:szCs w:val="24"/>
        </w:rPr>
        <w:t xml:space="preserve">  The ultimate level will also be determined by the ability to identify the savings from the areas set out as part of the Transformation </w:t>
      </w:r>
      <w:r w:rsidR="00276E31" w:rsidRPr="00ED0966">
        <w:rPr>
          <w:sz w:val="24"/>
          <w:szCs w:val="24"/>
        </w:rPr>
        <w:t>Strategy</w:t>
      </w:r>
      <w:r w:rsidR="00F5191E" w:rsidRPr="00ED0966">
        <w:rPr>
          <w:sz w:val="24"/>
          <w:szCs w:val="24"/>
        </w:rPr>
        <w:t xml:space="preserve"> and the level of risk associated with the delivery of these.</w:t>
      </w:r>
    </w:p>
    <w:p w:rsidR="007C3315" w:rsidRPr="00ED0966" w:rsidRDefault="007C3315" w:rsidP="0073669D">
      <w:pPr>
        <w:ind w:left="720"/>
        <w:jc w:val="left"/>
        <w:rPr>
          <w:sz w:val="24"/>
          <w:szCs w:val="24"/>
        </w:rPr>
      </w:pPr>
    </w:p>
    <w:p w:rsidR="007C3315" w:rsidRPr="00ED0966" w:rsidRDefault="007C3315" w:rsidP="0073669D">
      <w:pPr>
        <w:ind w:left="720"/>
        <w:jc w:val="left"/>
        <w:rPr>
          <w:rFonts w:cs="Arial"/>
          <w:bCs/>
          <w:sz w:val="24"/>
          <w:szCs w:val="24"/>
        </w:rPr>
      </w:pPr>
      <w:r w:rsidRPr="00ED0966">
        <w:rPr>
          <w:rFonts w:cs="Arial"/>
          <w:bCs/>
          <w:sz w:val="24"/>
          <w:szCs w:val="24"/>
        </w:rPr>
        <w:t>The Local Government Finance Act 1992, sections 42, 43 and 93 places a statutory duty on local authorities to set a balanced budget, having made regard for the expenditure it estimates it will incur during the year in performing its functions, and the income it expects to receive through fees and charges, (general and specific) grants and the Council Tax it collects from its residents.</w:t>
      </w:r>
    </w:p>
    <w:p w:rsidR="007C3315" w:rsidRPr="00ED0966" w:rsidRDefault="007C3315" w:rsidP="0073669D">
      <w:pPr>
        <w:ind w:left="720"/>
        <w:jc w:val="left"/>
        <w:rPr>
          <w:sz w:val="24"/>
          <w:szCs w:val="24"/>
        </w:rPr>
      </w:pPr>
    </w:p>
    <w:p w:rsidR="00CF6BCA" w:rsidRPr="00ED0966" w:rsidRDefault="00CF6BCA" w:rsidP="0073669D">
      <w:pPr>
        <w:ind w:left="720"/>
        <w:jc w:val="left"/>
        <w:rPr>
          <w:rFonts w:cs="Arial"/>
          <w:color w:val="000000"/>
          <w:sz w:val="24"/>
          <w:szCs w:val="24"/>
        </w:rPr>
      </w:pPr>
      <w:r w:rsidRPr="00ED0966">
        <w:rPr>
          <w:rFonts w:cs="Arial"/>
          <w:sz w:val="24"/>
          <w:szCs w:val="24"/>
        </w:rPr>
        <w:t xml:space="preserve">Whilst it is the responsibility of the Executive to prepare the budget and recommend the Council Tax levels for a specific year for consideration by the Authority, under the </w:t>
      </w:r>
      <w:r w:rsidRPr="00ED0966">
        <w:rPr>
          <w:rFonts w:cs="Arial"/>
          <w:color w:val="000000"/>
          <w:sz w:val="24"/>
          <w:szCs w:val="24"/>
        </w:rPr>
        <w:t xml:space="preserve">Local Authorities (Functions and Responsibilities) (England) Regulations 2000, </w:t>
      </w:r>
      <w:r w:rsidRPr="00ED0966">
        <w:rPr>
          <w:rFonts w:cs="Arial"/>
          <w:sz w:val="24"/>
          <w:szCs w:val="24"/>
        </w:rPr>
        <w:t xml:space="preserve">paragraphs 9 to 11 of Regulation 4 </w:t>
      </w:r>
      <w:r w:rsidRPr="00ED0966">
        <w:rPr>
          <w:rFonts w:cs="Arial"/>
          <w:color w:val="000000"/>
          <w:sz w:val="24"/>
          <w:szCs w:val="24"/>
        </w:rPr>
        <w:t xml:space="preserve">(Functions not to be the sole responsibility of </w:t>
      </w:r>
      <w:r w:rsidR="007C3315" w:rsidRPr="00ED0966">
        <w:rPr>
          <w:rFonts w:cs="Arial"/>
          <w:color w:val="000000"/>
          <w:sz w:val="24"/>
          <w:szCs w:val="24"/>
        </w:rPr>
        <w:t>an Authority’s</w:t>
      </w:r>
      <w:r w:rsidRPr="00ED0966">
        <w:rPr>
          <w:rFonts w:cs="Arial"/>
          <w:color w:val="000000"/>
          <w:sz w:val="24"/>
          <w:szCs w:val="24"/>
        </w:rPr>
        <w:t xml:space="preserve"> Executive), it is the responsibility of the Authority to approve the Council’s Budgetary Requirement and set Council Tax levels, as set out in the Local Government Finance Act 1992.</w:t>
      </w:r>
    </w:p>
    <w:p w:rsidR="00F5191E" w:rsidRPr="00ED0966" w:rsidRDefault="00F5191E" w:rsidP="0073669D">
      <w:pPr>
        <w:ind w:left="720"/>
        <w:jc w:val="left"/>
        <w:rPr>
          <w:rFonts w:cs="Arial"/>
          <w:color w:val="000000"/>
          <w:sz w:val="24"/>
          <w:szCs w:val="24"/>
        </w:rPr>
      </w:pPr>
    </w:p>
    <w:p w:rsidR="00F5191E" w:rsidRPr="00ED0966" w:rsidRDefault="00F5191E" w:rsidP="00106DCF">
      <w:pPr>
        <w:ind w:left="720"/>
        <w:jc w:val="left"/>
        <w:rPr>
          <w:rFonts w:cs="Arial"/>
          <w:color w:val="000000"/>
          <w:sz w:val="24"/>
          <w:szCs w:val="24"/>
        </w:rPr>
      </w:pPr>
      <w:r w:rsidRPr="00ED0966">
        <w:rPr>
          <w:rFonts w:cs="Arial"/>
          <w:color w:val="000000"/>
          <w:sz w:val="24"/>
          <w:szCs w:val="24"/>
        </w:rPr>
        <w:t xml:space="preserve">In determining the level of Council Tax, fees and charges and approval of savings put forward, the Council must consider the sustainability of the </w:t>
      </w:r>
      <w:r w:rsidR="00D56060" w:rsidRPr="00ED0966">
        <w:rPr>
          <w:rFonts w:cs="Arial"/>
          <w:color w:val="000000"/>
          <w:sz w:val="24"/>
          <w:szCs w:val="24"/>
        </w:rPr>
        <w:t>Council‘s</w:t>
      </w:r>
      <w:r w:rsidRPr="00ED0966">
        <w:rPr>
          <w:rFonts w:cs="Arial"/>
          <w:color w:val="000000"/>
          <w:sz w:val="24"/>
          <w:szCs w:val="24"/>
        </w:rPr>
        <w:t xml:space="preserve"> financial position and the projections outlined </w:t>
      </w:r>
      <w:r w:rsidR="003B0E66" w:rsidRPr="00ED0966">
        <w:rPr>
          <w:rFonts w:cs="Arial"/>
          <w:color w:val="000000"/>
          <w:sz w:val="24"/>
          <w:szCs w:val="24"/>
        </w:rPr>
        <w:t>with</w:t>
      </w:r>
      <w:r w:rsidRPr="00ED0966">
        <w:rPr>
          <w:rFonts w:cs="Arial"/>
          <w:color w:val="000000"/>
          <w:sz w:val="24"/>
          <w:szCs w:val="24"/>
        </w:rPr>
        <w:t xml:space="preserve">in </w:t>
      </w:r>
      <w:r w:rsidR="003B0E66" w:rsidRPr="00ED0966">
        <w:rPr>
          <w:rFonts w:cs="Arial"/>
          <w:color w:val="000000"/>
          <w:sz w:val="24"/>
          <w:szCs w:val="24"/>
        </w:rPr>
        <w:t xml:space="preserve">this Medium Term Financial </w:t>
      </w:r>
      <w:r w:rsidR="00C07013">
        <w:rPr>
          <w:rFonts w:cs="Arial"/>
          <w:color w:val="000000"/>
          <w:sz w:val="24"/>
          <w:szCs w:val="24"/>
        </w:rPr>
        <w:t>Plan</w:t>
      </w:r>
    </w:p>
    <w:p w:rsidR="00595F58" w:rsidRPr="00ED0966" w:rsidRDefault="00595F58" w:rsidP="00106DCF">
      <w:pPr>
        <w:ind w:left="720" w:hanging="720"/>
        <w:jc w:val="left"/>
        <w:rPr>
          <w:rFonts w:cs="Arial"/>
          <w:sz w:val="24"/>
          <w:szCs w:val="24"/>
        </w:rPr>
      </w:pPr>
    </w:p>
    <w:p w:rsidR="00FF0214" w:rsidRPr="00ED0966" w:rsidRDefault="00FF0214" w:rsidP="00611F1A">
      <w:pPr>
        <w:ind w:left="720" w:hanging="720"/>
        <w:jc w:val="left"/>
        <w:outlineLvl w:val="0"/>
        <w:rPr>
          <w:b/>
          <w:sz w:val="24"/>
          <w:szCs w:val="24"/>
        </w:rPr>
      </w:pPr>
    </w:p>
    <w:p w:rsidR="00BE210E" w:rsidRPr="00ED0966" w:rsidRDefault="007F7374" w:rsidP="00106DCF">
      <w:pPr>
        <w:ind w:left="720" w:hanging="720"/>
        <w:jc w:val="left"/>
        <w:rPr>
          <w:b/>
          <w:sz w:val="24"/>
          <w:szCs w:val="24"/>
        </w:rPr>
      </w:pPr>
      <w:r w:rsidRPr="00ED0966">
        <w:rPr>
          <w:b/>
          <w:sz w:val="24"/>
          <w:szCs w:val="24"/>
        </w:rPr>
        <w:t>9</w:t>
      </w:r>
      <w:r w:rsidR="00B920DF" w:rsidRPr="00ED0966">
        <w:rPr>
          <w:b/>
          <w:sz w:val="24"/>
          <w:szCs w:val="24"/>
        </w:rPr>
        <w:t>.</w:t>
      </w:r>
      <w:r w:rsidR="00B920DF" w:rsidRPr="00ED0966">
        <w:rPr>
          <w:b/>
          <w:sz w:val="24"/>
          <w:szCs w:val="24"/>
        </w:rPr>
        <w:tab/>
        <w:t>CO</w:t>
      </w:r>
      <w:r w:rsidR="00BE210E" w:rsidRPr="00ED0966">
        <w:rPr>
          <w:b/>
          <w:sz w:val="24"/>
          <w:szCs w:val="24"/>
        </w:rPr>
        <w:t>NSULTATION</w:t>
      </w:r>
    </w:p>
    <w:p w:rsidR="00B72754" w:rsidRPr="00ED0966" w:rsidRDefault="00B72754" w:rsidP="00106DCF">
      <w:pPr>
        <w:ind w:left="720" w:hanging="720"/>
        <w:jc w:val="left"/>
        <w:rPr>
          <w:sz w:val="24"/>
          <w:szCs w:val="24"/>
        </w:rPr>
      </w:pPr>
    </w:p>
    <w:p w:rsidR="00DA3F6C" w:rsidRPr="00ED0966" w:rsidRDefault="00DA3F6C" w:rsidP="00106DCF">
      <w:pPr>
        <w:ind w:left="720" w:hanging="720"/>
        <w:jc w:val="left"/>
        <w:rPr>
          <w:sz w:val="24"/>
          <w:szCs w:val="24"/>
        </w:rPr>
      </w:pPr>
      <w:r w:rsidRPr="00ED0966">
        <w:rPr>
          <w:sz w:val="24"/>
          <w:szCs w:val="24"/>
        </w:rPr>
        <w:t>9.1</w:t>
      </w:r>
      <w:r w:rsidRPr="00ED0966">
        <w:rPr>
          <w:sz w:val="24"/>
          <w:szCs w:val="24"/>
        </w:rPr>
        <w:tab/>
        <w:t xml:space="preserve">The proposals within this report will be the basis for consultation with Trade Unions and Employees.  Further consultation will take place on specific proposals within the budget.  </w:t>
      </w:r>
    </w:p>
    <w:p w:rsidR="00DA3F6C" w:rsidRPr="00ED0966" w:rsidRDefault="00DA3F6C" w:rsidP="00106DCF">
      <w:pPr>
        <w:ind w:left="720" w:hanging="720"/>
        <w:jc w:val="left"/>
        <w:rPr>
          <w:sz w:val="24"/>
          <w:szCs w:val="24"/>
        </w:rPr>
      </w:pPr>
    </w:p>
    <w:p w:rsidR="00DA3F6C" w:rsidRPr="00656AD3" w:rsidRDefault="00DA3F6C" w:rsidP="00106DCF">
      <w:pPr>
        <w:ind w:left="720" w:hanging="720"/>
        <w:jc w:val="left"/>
        <w:rPr>
          <w:sz w:val="24"/>
          <w:szCs w:val="24"/>
        </w:rPr>
      </w:pPr>
      <w:r w:rsidRPr="00ED0966">
        <w:rPr>
          <w:sz w:val="24"/>
          <w:szCs w:val="24"/>
        </w:rPr>
        <w:t>9.2</w:t>
      </w:r>
      <w:r w:rsidRPr="00ED0966">
        <w:rPr>
          <w:sz w:val="24"/>
          <w:szCs w:val="24"/>
        </w:rPr>
        <w:tab/>
        <w:t xml:space="preserve">This report recommends scrutiny by </w:t>
      </w:r>
      <w:r w:rsidR="00455096" w:rsidRPr="00ED0966">
        <w:rPr>
          <w:sz w:val="24"/>
          <w:szCs w:val="24"/>
        </w:rPr>
        <w:t xml:space="preserve">Overview and </w:t>
      </w:r>
      <w:r w:rsidR="009477FF" w:rsidRPr="00ED0966">
        <w:rPr>
          <w:sz w:val="24"/>
          <w:szCs w:val="24"/>
        </w:rPr>
        <w:t>Scrutiny</w:t>
      </w:r>
      <w:r w:rsidR="00455096" w:rsidRPr="00ED0966">
        <w:rPr>
          <w:sz w:val="24"/>
          <w:szCs w:val="24"/>
        </w:rPr>
        <w:t xml:space="preserve"> Committee</w:t>
      </w:r>
      <w:r w:rsidRPr="00ED0966">
        <w:rPr>
          <w:sz w:val="24"/>
          <w:szCs w:val="24"/>
        </w:rPr>
        <w:t xml:space="preserve"> </w:t>
      </w:r>
      <w:r w:rsidR="00595F58" w:rsidRPr="00ED0966">
        <w:rPr>
          <w:sz w:val="24"/>
          <w:szCs w:val="24"/>
        </w:rPr>
        <w:t xml:space="preserve">(Corporate) </w:t>
      </w:r>
      <w:r w:rsidRPr="00ED0966">
        <w:rPr>
          <w:sz w:val="24"/>
          <w:szCs w:val="24"/>
        </w:rPr>
        <w:t>in line with the Council’s consultation.</w:t>
      </w:r>
    </w:p>
    <w:p w:rsidR="00256B13" w:rsidRPr="00656AD3" w:rsidRDefault="00256B13" w:rsidP="00106DCF">
      <w:pPr>
        <w:ind w:left="720" w:hanging="720"/>
        <w:jc w:val="left"/>
        <w:rPr>
          <w:sz w:val="24"/>
          <w:szCs w:val="24"/>
        </w:rPr>
      </w:pPr>
    </w:p>
    <w:p w:rsidR="003F0A37" w:rsidRDefault="003F0A37">
      <w:pPr>
        <w:jc w:val="left"/>
        <w:rPr>
          <w:b/>
          <w:sz w:val="24"/>
          <w:szCs w:val="24"/>
        </w:rPr>
      </w:pPr>
    </w:p>
    <w:p w:rsidR="00BE210E" w:rsidRPr="00656AD3" w:rsidRDefault="00495589" w:rsidP="00106DCF">
      <w:pPr>
        <w:ind w:left="720" w:hanging="720"/>
        <w:jc w:val="left"/>
        <w:outlineLvl w:val="0"/>
        <w:rPr>
          <w:b/>
          <w:sz w:val="24"/>
          <w:szCs w:val="24"/>
        </w:rPr>
      </w:pPr>
      <w:r w:rsidRPr="00656AD3">
        <w:rPr>
          <w:b/>
          <w:sz w:val="24"/>
          <w:szCs w:val="24"/>
        </w:rPr>
        <w:t>10</w:t>
      </w:r>
      <w:r w:rsidR="00B920DF" w:rsidRPr="00656AD3">
        <w:rPr>
          <w:b/>
          <w:sz w:val="24"/>
          <w:szCs w:val="24"/>
        </w:rPr>
        <w:t>.</w:t>
      </w:r>
      <w:r w:rsidR="00B920DF" w:rsidRPr="00656AD3">
        <w:rPr>
          <w:b/>
          <w:sz w:val="24"/>
          <w:szCs w:val="24"/>
        </w:rPr>
        <w:tab/>
        <w:t>BA</w:t>
      </w:r>
      <w:r w:rsidR="00BE210E" w:rsidRPr="00656AD3">
        <w:rPr>
          <w:b/>
          <w:sz w:val="24"/>
          <w:szCs w:val="24"/>
        </w:rPr>
        <w:t>CKGROUND PAPERS</w:t>
      </w:r>
    </w:p>
    <w:p w:rsidR="00BE210E" w:rsidRPr="00656AD3" w:rsidRDefault="00BE210E" w:rsidP="0073669D">
      <w:pPr>
        <w:ind w:left="851" w:hanging="851"/>
        <w:jc w:val="left"/>
        <w:rPr>
          <w:sz w:val="24"/>
          <w:szCs w:val="24"/>
        </w:rPr>
      </w:pPr>
    </w:p>
    <w:p w:rsidR="001B1635" w:rsidRDefault="00A17AF5" w:rsidP="0073669D">
      <w:pPr>
        <w:ind w:left="851" w:hanging="851"/>
        <w:jc w:val="left"/>
        <w:rPr>
          <w:sz w:val="24"/>
          <w:szCs w:val="24"/>
        </w:rPr>
      </w:pPr>
      <w:r w:rsidRPr="00656AD3">
        <w:rPr>
          <w:sz w:val="24"/>
          <w:szCs w:val="24"/>
        </w:rPr>
        <w:t>None</w:t>
      </w:r>
    </w:p>
    <w:p w:rsidR="00DE657C" w:rsidRPr="00656AD3" w:rsidRDefault="00DE657C" w:rsidP="0073669D">
      <w:pPr>
        <w:ind w:left="851" w:hanging="851"/>
        <w:jc w:val="left"/>
        <w:rPr>
          <w:sz w:val="24"/>
          <w:szCs w:val="24"/>
        </w:rPr>
      </w:pPr>
    </w:p>
    <w:tbl>
      <w:tblPr>
        <w:tblW w:w="0" w:type="auto"/>
        <w:tblLook w:val="01E0" w:firstRow="1" w:lastRow="1" w:firstColumn="1" w:lastColumn="1" w:noHBand="0" w:noVBand="0"/>
      </w:tblPr>
      <w:tblGrid>
        <w:gridCol w:w="1788"/>
        <w:gridCol w:w="296"/>
        <w:gridCol w:w="6910"/>
      </w:tblGrid>
      <w:tr w:rsidR="00DE657C" w:rsidRPr="00656AD3" w:rsidTr="00DE657C">
        <w:tc>
          <w:tcPr>
            <w:tcW w:w="1788" w:type="dxa"/>
            <w:shd w:val="clear" w:color="auto" w:fill="auto"/>
          </w:tcPr>
          <w:p w:rsidR="00DE657C" w:rsidRPr="00656AD3" w:rsidRDefault="00DE657C" w:rsidP="00DE657C">
            <w:pPr>
              <w:jc w:val="left"/>
              <w:rPr>
                <w:rFonts w:cs="Arial"/>
                <w:sz w:val="24"/>
                <w:szCs w:val="24"/>
              </w:rPr>
            </w:pPr>
            <w:r w:rsidRPr="00656AD3">
              <w:rPr>
                <w:rFonts w:cs="Arial"/>
                <w:sz w:val="24"/>
                <w:szCs w:val="24"/>
              </w:rPr>
              <w:t>Report Author</w:t>
            </w:r>
          </w:p>
        </w:tc>
        <w:tc>
          <w:tcPr>
            <w:tcW w:w="296" w:type="dxa"/>
            <w:shd w:val="clear" w:color="auto" w:fill="auto"/>
          </w:tcPr>
          <w:p w:rsidR="00DE657C" w:rsidRPr="00656AD3" w:rsidRDefault="00DE657C" w:rsidP="00DE657C">
            <w:pPr>
              <w:jc w:val="left"/>
              <w:rPr>
                <w:rFonts w:cs="Arial"/>
                <w:sz w:val="24"/>
                <w:szCs w:val="24"/>
              </w:rPr>
            </w:pPr>
            <w:r w:rsidRPr="00656AD3">
              <w:rPr>
                <w:rFonts w:cs="Arial"/>
                <w:sz w:val="24"/>
                <w:szCs w:val="24"/>
              </w:rPr>
              <w:t>-</w:t>
            </w:r>
          </w:p>
        </w:tc>
        <w:tc>
          <w:tcPr>
            <w:tcW w:w="6910" w:type="dxa"/>
            <w:shd w:val="clear" w:color="auto" w:fill="auto"/>
          </w:tcPr>
          <w:p w:rsidR="00DE657C" w:rsidRPr="00656AD3" w:rsidRDefault="0097075D" w:rsidP="0097075D">
            <w:pPr>
              <w:jc w:val="left"/>
              <w:rPr>
                <w:rFonts w:cs="Arial"/>
                <w:sz w:val="24"/>
                <w:szCs w:val="24"/>
              </w:rPr>
            </w:pPr>
            <w:r>
              <w:rPr>
                <w:rFonts w:cs="Arial"/>
                <w:sz w:val="24"/>
                <w:szCs w:val="24"/>
              </w:rPr>
              <w:t>Emma Frith</w:t>
            </w:r>
          </w:p>
        </w:tc>
      </w:tr>
      <w:tr w:rsidR="00DE657C" w:rsidRPr="00656AD3" w:rsidTr="00DE657C">
        <w:tc>
          <w:tcPr>
            <w:tcW w:w="1788" w:type="dxa"/>
            <w:shd w:val="clear" w:color="auto" w:fill="auto"/>
          </w:tcPr>
          <w:p w:rsidR="00DE657C" w:rsidRPr="00656AD3" w:rsidRDefault="00DE657C" w:rsidP="00DE657C">
            <w:pPr>
              <w:jc w:val="left"/>
              <w:rPr>
                <w:rFonts w:cs="Arial"/>
                <w:sz w:val="24"/>
                <w:szCs w:val="24"/>
              </w:rPr>
            </w:pPr>
            <w:r w:rsidRPr="00656AD3">
              <w:rPr>
                <w:rFonts w:cs="Arial"/>
                <w:sz w:val="24"/>
                <w:szCs w:val="24"/>
              </w:rPr>
              <w:t>Designation</w:t>
            </w:r>
          </w:p>
        </w:tc>
        <w:tc>
          <w:tcPr>
            <w:tcW w:w="296" w:type="dxa"/>
            <w:shd w:val="clear" w:color="auto" w:fill="auto"/>
          </w:tcPr>
          <w:p w:rsidR="00DE657C" w:rsidRPr="00656AD3" w:rsidRDefault="00DE657C" w:rsidP="00DE657C">
            <w:pPr>
              <w:jc w:val="left"/>
              <w:rPr>
                <w:rFonts w:cs="Arial"/>
                <w:sz w:val="24"/>
                <w:szCs w:val="24"/>
              </w:rPr>
            </w:pPr>
            <w:r w:rsidRPr="00656AD3">
              <w:rPr>
                <w:rFonts w:cs="Arial"/>
                <w:sz w:val="24"/>
                <w:szCs w:val="24"/>
              </w:rPr>
              <w:t>-</w:t>
            </w:r>
          </w:p>
        </w:tc>
        <w:tc>
          <w:tcPr>
            <w:tcW w:w="6910" w:type="dxa"/>
            <w:shd w:val="clear" w:color="auto" w:fill="auto"/>
          </w:tcPr>
          <w:p w:rsidR="00DE657C" w:rsidRPr="00656AD3" w:rsidRDefault="00DE657C" w:rsidP="00DE657C">
            <w:pPr>
              <w:jc w:val="left"/>
              <w:rPr>
                <w:rFonts w:cs="Arial"/>
                <w:sz w:val="24"/>
                <w:szCs w:val="24"/>
              </w:rPr>
            </w:pPr>
            <w:r w:rsidRPr="00656AD3">
              <w:rPr>
                <w:rFonts w:cs="Arial"/>
                <w:sz w:val="24"/>
                <w:szCs w:val="24"/>
              </w:rPr>
              <w:t>Financial Services Manager</w:t>
            </w:r>
          </w:p>
        </w:tc>
      </w:tr>
      <w:tr w:rsidR="00DE657C" w:rsidRPr="00656AD3" w:rsidTr="00DE657C">
        <w:tc>
          <w:tcPr>
            <w:tcW w:w="1788" w:type="dxa"/>
            <w:shd w:val="clear" w:color="auto" w:fill="auto"/>
          </w:tcPr>
          <w:p w:rsidR="00DE657C" w:rsidRPr="00656AD3" w:rsidRDefault="00DE657C" w:rsidP="00DE657C">
            <w:pPr>
              <w:jc w:val="left"/>
              <w:rPr>
                <w:rFonts w:cs="Arial"/>
                <w:sz w:val="24"/>
                <w:szCs w:val="24"/>
              </w:rPr>
            </w:pPr>
            <w:r w:rsidRPr="00656AD3">
              <w:rPr>
                <w:rFonts w:cs="Arial"/>
                <w:sz w:val="24"/>
                <w:szCs w:val="24"/>
              </w:rPr>
              <w:t>Telephone</w:t>
            </w:r>
          </w:p>
        </w:tc>
        <w:tc>
          <w:tcPr>
            <w:tcW w:w="296" w:type="dxa"/>
            <w:shd w:val="clear" w:color="auto" w:fill="auto"/>
          </w:tcPr>
          <w:p w:rsidR="00DE657C" w:rsidRPr="00656AD3" w:rsidRDefault="00DE657C" w:rsidP="00DE657C">
            <w:pPr>
              <w:jc w:val="left"/>
              <w:rPr>
                <w:rFonts w:cs="Arial"/>
                <w:sz w:val="24"/>
                <w:szCs w:val="24"/>
              </w:rPr>
            </w:pPr>
            <w:r w:rsidRPr="00656AD3">
              <w:rPr>
                <w:rFonts w:cs="Arial"/>
                <w:sz w:val="24"/>
                <w:szCs w:val="24"/>
              </w:rPr>
              <w:t>-</w:t>
            </w:r>
          </w:p>
        </w:tc>
        <w:tc>
          <w:tcPr>
            <w:tcW w:w="6910" w:type="dxa"/>
            <w:shd w:val="clear" w:color="auto" w:fill="auto"/>
          </w:tcPr>
          <w:p w:rsidR="00DE657C" w:rsidRPr="00656AD3" w:rsidRDefault="00DE657C" w:rsidP="0097075D">
            <w:pPr>
              <w:jc w:val="left"/>
              <w:rPr>
                <w:rFonts w:cs="Arial"/>
                <w:sz w:val="24"/>
                <w:szCs w:val="24"/>
              </w:rPr>
            </w:pPr>
            <w:r w:rsidRPr="00656AD3">
              <w:rPr>
                <w:rFonts w:cs="Arial"/>
                <w:sz w:val="24"/>
                <w:szCs w:val="24"/>
              </w:rPr>
              <w:t>01623 46</w:t>
            </w:r>
            <w:r>
              <w:rPr>
                <w:rFonts w:cs="Arial"/>
                <w:sz w:val="24"/>
                <w:szCs w:val="24"/>
              </w:rPr>
              <w:t>3</w:t>
            </w:r>
            <w:r w:rsidR="0097075D">
              <w:rPr>
                <w:rFonts w:cs="Arial"/>
                <w:sz w:val="24"/>
                <w:szCs w:val="24"/>
              </w:rPr>
              <w:t>495</w:t>
            </w:r>
          </w:p>
        </w:tc>
      </w:tr>
      <w:tr w:rsidR="00DE657C" w:rsidRPr="00656AD3" w:rsidTr="00DE657C">
        <w:tc>
          <w:tcPr>
            <w:tcW w:w="1788" w:type="dxa"/>
            <w:shd w:val="clear" w:color="auto" w:fill="auto"/>
          </w:tcPr>
          <w:p w:rsidR="00DE657C" w:rsidRPr="00656AD3" w:rsidRDefault="00DE657C" w:rsidP="00DE657C">
            <w:pPr>
              <w:jc w:val="left"/>
              <w:rPr>
                <w:rFonts w:cs="Arial"/>
                <w:sz w:val="24"/>
                <w:szCs w:val="24"/>
              </w:rPr>
            </w:pPr>
            <w:r w:rsidRPr="00656AD3">
              <w:rPr>
                <w:rFonts w:cs="Arial"/>
                <w:sz w:val="24"/>
                <w:szCs w:val="24"/>
              </w:rPr>
              <w:t>E-mail</w:t>
            </w:r>
          </w:p>
        </w:tc>
        <w:tc>
          <w:tcPr>
            <w:tcW w:w="296" w:type="dxa"/>
            <w:shd w:val="clear" w:color="auto" w:fill="auto"/>
          </w:tcPr>
          <w:p w:rsidR="00DE657C" w:rsidRPr="00656AD3" w:rsidRDefault="00DE657C" w:rsidP="00DE657C">
            <w:pPr>
              <w:jc w:val="left"/>
              <w:rPr>
                <w:rFonts w:cs="Arial"/>
                <w:sz w:val="24"/>
                <w:szCs w:val="24"/>
              </w:rPr>
            </w:pPr>
            <w:r w:rsidRPr="00656AD3">
              <w:rPr>
                <w:rFonts w:cs="Arial"/>
                <w:sz w:val="24"/>
                <w:szCs w:val="24"/>
              </w:rPr>
              <w:t>-</w:t>
            </w:r>
          </w:p>
        </w:tc>
        <w:tc>
          <w:tcPr>
            <w:tcW w:w="6910" w:type="dxa"/>
            <w:shd w:val="clear" w:color="auto" w:fill="auto"/>
          </w:tcPr>
          <w:p w:rsidR="00DE657C" w:rsidRPr="00656AD3" w:rsidRDefault="009D61A7" w:rsidP="00DE657C">
            <w:pPr>
              <w:jc w:val="left"/>
              <w:rPr>
                <w:rFonts w:cs="Arial"/>
                <w:sz w:val="24"/>
                <w:szCs w:val="24"/>
              </w:rPr>
            </w:pPr>
            <w:hyperlink r:id="rId12" w:history="1">
              <w:r w:rsidR="0097075D" w:rsidRPr="00512343">
                <w:rPr>
                  <w:rStyle w:val="Hyperlink"/>
                  <w:rFonts w:cs="Arial"/>
                  <w:sz w:val="24"/>
                  <w:szCs w:val="24"/>
                </w:rPr>
                <w:t>efrith@mansfield.gov.uk</w:t>
              </w:r>
            </w:hyperlink>
            <w:r w:rsidR="0097075D">
              <w:rPr>
                <w:rFonts w:cs="Arial"/>
                <w:sz w:val="24"/>
                <w:szCs w:val="24"/>
              </w:rPr>
              <w:t xml:space="preserve"> </w:t>
            </w:r>
            <w:hyperlink r:id="rId13" w:history="1"/>
          </w:p>
        </w:tc>
      </w:tr>
      <w:tr w:rsidR="00DE657C" w:rsidRPr="00656AD3" w:rsidTr="00DE657C">
        <w:tc>
          <w:tcPr>
            <w:tcW w:w="1788" w:type="dxa"/>
            <w:shd w:val="clear" w:color="auto" w:fill="auto"/>
          </w:tcPr>
          <w:p w:rsidR="00DE657C" w:rsidRPr="00656AD3" w:rsidRDefault="00DE657C" w:rsidP="00DC74D5">
            <w:pPr>
              <w:jc w:val="left"/>
              <w:rPr>
                <w:rFonts w:cs="Arial"/>
                <w:sz w:val="24"/>
                <w:szCs w:val="24"/>
              </w:rPr>
            </w:pPr>
          </w:p>
        </w:tc>
        <w:tc>
          <w:tcPr>
            <w:tcW w:w="296" w:type="dxa"/>
            <w:shd w:val="clear" w:color="auto" w:fill="auto"/>
          </w:tcPr>
          <w:p w:rsidR="00DE657C" w:rsidRPr="00656AD3" w:rsidRDefault="00DE657C" w:rsidP="00DC74D5">
            <w:pPr>
              <w:jc w:val="left"/>
              <w:rPr>
                <w:rFonts w:cs="Arial"/>
                <w:sz w:val="24"/>
                <w:szCs w:val="24"/>
              </w:rPr>
            </w:pPr>
          </w:p>
        </w:tc>
        <w:tc>
          <w:tcPr>
            <w:tcW w:w="6910" w:type="dxa"/>
            <w:shd w:val="clear" w:color="auto" w:fill="auto"/>
          </w:tcPr>
          <w:p w:rsidR="00DE657C" w:rsidRPr="00656AD3" w:rsidRDefault="00DE657C" w:rsidP="00DC74D5">
            <w:pPr>
              <w:jc w:val="left"/>
              <w:rPr>
                <w:rFonts w:cs="Arial"/>
                <w:sz w:val="24"/>
                <w:szCs w:val="24"/>
              </w:rPr>
            </w:pPr>
          </w:p>
        </w:tc>
      </w:tr>
    </w:tbl>
    <w:p w:rsidR="00B8719C" w:rsidRDefault="00B8719C" w:rsidP="00772FE1">
      <w:pPr>
        <w:jc w:val="left"/>
        <w:rPr>
          <w:rFonts w:cs="Arial"/>
          <w:b/>
          <w:sz w:val="32"/>
          <w:szCs w:val="32"/>
        </w:rPr>
      </w:pPr>
    </w:p>
    <w:p w:rsidR="00F92C12" w:rsidRDefault="00F92C12" w:rsidP="00772FE1">
      <w:pPr>
        <w:jc w:val="left"/>
        <w:rPr>
          <w:rFonts w:cs="Arial"/>
          <w:b/>
          <w:sz w:val="32"/>
          <w:szCs w:val="32"/>
        </w:rPr>
      </w:pPr>
    </w:p>
    <w:p w:rsidR="003E6D22" w:rsidRDefault="003E6D22" w:rsidP="00772FE1">
      <w:pPr>
        <w:jc w:val="left"/>
        <w:rPr>
          <w:rFonts w:cs="Arial"/>
          <w:b/>
          <w:sz w:val="32"/>
          <w:szCs w:val="32"/>
        </w:rPr>
      </w:pPr>
    </w:p>
    <w:p w:rsidR="003E6D22" w:rsidRDefault="003E6D22" w:rsidP="00772FE1">
      <w:pPr>
        <w:jc w:val="left"/>
        <w:rPr>
          <w:rFonts w:cs="Arial"/>
          <w:b/>
          <w:sz w:val="32"/>
          <w:szCs w:val="32"/>
        </w:rPr>
      </w:pPr>
    </w:p>
    <w:p w:rsidR="003E6D22" w:rsidRDefault="003E6D22" w:rsidP="00772FE1">
      <w:pPr>
        <w:jc w:val="left"/>
        <w:rPr>
          <w:rFonts w:cs="Arial"/>
          <w:b/>
          <w:sz w:val="32"/>
          <w:szCs w:val="32"/>
        </w:rPr>
      </w:pPr>
    </w:p>
    <w:p w:rsidR="003E6D22" w:rsidRDefault="003E6D22" w:rsidP="00772FE1">
      <w:pPr>
        <w:jc w:val="left"/>
        <w:rPr>
          <w:rFonts w:cs="Arial"/>
          <w:b/>
          <w:sz w:val="32"/>
          <w:szCs w:val="32"/>
        </w:rPr>
      </w:pPr>
    </w:p>
    <w:p w:rsidR="003E6D22" w:rsidRDefault="003E6D22" w:rsidP="00772FE1">
      <w:pPr>
        <w:jc w:val="left"/>
        <w:rPr>
          <w:rFonts w:cs="Arial"/>
          <w:b/>
          <w:sz w:val="32"/>
          <w:szCs w:val="32"/>
        </w:rPr>
      </w:pPr>
    </w:p>
    <w:p w:rsidR="0035778C" w:rsidRDefault="0035778C" w:rsidP="00772FE1">
      <w:pPr>
        <w:jc w:val="left"/>
        <w:rPr>
          <w:rFonts w:cs="Arial"/>
          <w:b/>
          <w:sz w:val="32"/>
          <w:szCs w:val="32"/>
        </w:rPr>
      </w:pPr>
    </w:p>
    <w:p w:rsidR="0035778C" w:rsidRDefault="0035778C" w:rsidP="00772FE1">
      <w:pPr>
        <w:jc w:val="left"/>
        <w:rPr>
          <w:rFonts w:cs="Arial"/>
          <w:b/>
          <w:sz w:val="32"/>
          <w:szCs w:val="32"/>
        </w:rPr>
      </w:pPr>
    </w:p>
    <w:p w:rsidR="0035778C" w:rsidRDefault="0035778C" w:rsidP="00772FE1">
      <w:pPr>
        <w:jc w:val="left"/>
        <w:rPr>
          <w:rFonts w:cs="Arial"/>
          <w:b/>
          <w:sz w:val="32"/>
          <w:szCs w:val="32"/>
        </w:rPr>
      </w:pPr>
    </w:p>
    <w:p w:rsidR="0035778C" w:rsidRDefault="0035778C" w:rsidP="00772FE1">
      <w:pPr>
        <w:jc w:val="left"/>
        <w:rPr>
          <w:rFonts w:cs="Arial"/>
          <w:b/>
          <w:sz w:val="32"/>
          <w:szCs w:val="32"/>
        </w:rPr>
      </w:pPr>
    </w:p>
    <w:p w:rsidR="0035778C" w:rsidRDefault="0035778C" w:rsidP="00772FE1">
      <w:pPr>
        <w:jc w:val="left"/>
        <w:rPr>
          <w:rFonts w:cs="Arial"/>
          <w:b/>
          <w:sz w:val="32"/>
          <w:szCs w:val="32"/>
        </w:rPr>
      </w:pPr>
    </w:p>
    <w:p w:rsidR="0035778C" w:rsidRDefault="0035778C" w:rsidP="00772FE1">
      <w:pPr>
        <w:jc w:val="left"/>
        <w:rPr>
          <w:rFonts w:cs="Arial"/>
          <w:b/>
          <w:sz w:val="32"/>
          <w:szCs w:val="32"/>
        </w:rPr>
      </w:pPr>
    </w:p>
    <w:p w:rsidR="002366EB" w:rsidRDefault="002366EB" w:rsidP="00772FE1">
      <w:pPr>
        <w:jc w:val="left"/>
        <w:rPr>
          <w:rFonts w:cs="Arial"/>
          <w:b/>
          <w:sz w:val="32"/>
          <w:szCs w:val="32"/>
        </w:rPr>
      </w:pPr>
    </w:p>
    <w:p w:rsidR="00CF625B" w:rsidRDefault="00CF625B" w:rsidP="00772FE1">
      <w:pPr>
        <w:jc w:val="left"/>
        <w:rPr>
          <w:rFonts w:cs="Arial"/>
          <w:b/>
          <w:sz w:val="32"/>
          <w:szCs w:val="32"/>
        </w:rPr>
      </w:pPr>
      <w:r w:rsidRPr="00D53DE6">
        <w:rPr>
          <w:rFonts w:cs="Arial"/>
          <w:b/>
          <w:sz w:val="32"/>
          <w:szCs w:val="32"/>
        </w:rPr>
        <w:t xml:space="preserve">Appendix </w:t>
      </w:r>
      <w:r w:rsidR="00E33107" w:rsidRPr="00D53DE6">
        <w:rPr>
          <w:rFonts w:cs="Arial"/>
          <w:b/>
          <w:sz w:val="32"/>
          <w:szCs w:val="32"/>
        </w:rPr>
        <w:t>1</w:t>
      </w:r>
    </w:p>
    <w:p w:rsidR="00980AE0" w:rsidRDefault="00980AE0" w:rsidP="00772FE1">
      <w:pPr>
        <w:jc w:val="left"/>
        <w:rPr>
          <w:rFonts w:cs="Arial"/>
          <w:b/>
          <w:sz w:val="32"/>
          <w:szCs w:val="32"/>
        </w:rPr>
      </w:pPr>
    </w:p>
    <w:p w:rsidR="00980AE0" w:rsidRDefault="00980AE0" w:rsidP="00772FE1">
      <w:pPr>
        <w:jc w:val="left"/>
        <w:rPr>
          <w:b/>
          <w:sz w:val="24"/>
          <w:szCs w:val="24"/>
        </w:rPr>
      </w:pPr>
      <w:r>
        <w:rPr>
          <w:b/>
          <w:sz w:val="24"/>
          <w:szCs w:val="24"/>
        </w:rPr>
        <w:t>General Fund</w:t>
      </w:r>
      <w:r w:rsidRPr="00656AD3">
        <w:rPr>
          <w:b/>
          <w:sz w:val="24"/>
          <w:szCs w:val="24"/>
        </w:rPr>
        <w:t xml:space="preserve"> Proposed Budgets</w:t>
      </w:r>
      <w:r>
        <w:rPr>
          <w:b/>
          <w:sz w:val="24"/>
          <w:szCs w:val="24"/>
        </w:rPr>
        <w:t xml:space="preserve">, </w:t>
      </w:r>
      <w:r w:rsidRPr="00243580">
        <w:rPr>
          <w:b/>
          <w:sz w:val="24"/>
          <w:szCs w:val="24"/>
        </w:rPr>
        <w:t>20</w:t>
      </w:r>
      <w:r w:rsidR="0097075D">
        <w:rPr>
          <w:b/>
          <w:sz w:val="24"/>
          <w:szCs w:val="24"/>
        </w:rPr>
        <w:t>23/24 to 2025/26</w:t>
      </w:r>
    </w:p>
    <w:p w:rsidR="00CF625B" w:rsidRDefault="00CF625B" w:rsidP="00CF625B">
      <w:pPr>
        <w:rPr>
          <w:noProof/>
        </w:rPr>
      </w:pPr>
    </w:p>
    <w:p w:rsidR="00C93151" w:rsidRDefault="00C93151" w:rsidP="00CF625B">
      <w:pPr>
        <w:rPr>
          <w:noProof/>
        </w:rPr>
      </w:pPr>
    </w:p>
    <w:p w:rsidR="00456339" w:rsidRPr="00656AD3" w:rsidRDefault="00C93151" w:rsidP="00CF625B">
      <w:pPr>
        <w:rPr>
          <w:rFonts w:cs="Arial"/>
          <w:b/>
        </w:rPr>
        <w:sectPr w:rsidR="00456339" w:rsidRPr="00656AD3" w:rsidSect="00DF11C3">
          <w:headerReference w:type="default" r:id="rId14"/>
          <w:pgSz w:w="11906" w:h="16838"/>
          <w:pgMar w:top="1440" w:right="1440" w:bottom="1440" w:left="1440" w:header="708" w:footer="708" w:gutter="0"/>
          <w:cols w:space="708"/>
          <w:docGrid w:linePitch="360"/>
        </w:sectPr>
      </w:pPr>
      <w:r w:rsidRPr="00C93151">
        <w:rPr>
          <w:noProof/>
        </w:rPr>
        <w:drawing>
          <wp:inline distT="0" distB="0" distL="0" distR="0" wp14:anchorId="2531FC51" wp14:editId="50714016">
            <wp:extent cx="4168140" cy="59512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8140" cy="5951220"/>
                    </a:xfrm>
                    <a:prstGeom prst="rect">
                      <a:avLst/>
                    </a:prstGeom>
                    <a:noFill/>
                    <a:ln>
                      <a:noFill/>
                    </a:ln>
                  </pic:spPr>
                </pic:pic>
              </a:graphicData>
            </a:graphic>
          </wp:inline>
        </w:drawing>
      </w:r>
    </w:p>
    <w:p w:rsidR="00755F99" w:rsidRDefault="00755F99" w:rsidP="00223FC8">
      <w:pPr>
        <w:rPr>
          <w:b/>
          <w:sz w:val="32"/>
          <w:szCs w:val="32"/>
        </w:rPr>
      </w:pPr>
      <w:r>
        <w:rPr>
          <w:b/>
          <w:sz w:val="32"/>
          <w:szCs w:val="32"/>
        </w:rPr>
        <w:t>Appendix 2</w:t>
      </w:r>
    </w:p>
    <w:p w:rsidR="00755F99" w:rsidRDefault="00755F99" w:rsidP="00223FC8">
      <w:pPr>
        <w:rPr>
          <w:b/>
          <w:sz w:val="32"/>
          <w:szCs w:val="32"/>
        </w:rPr>
      </w:pPr>
    </w:p>
    <w:p w:rsidR="00755F99" w:rsidRDefault="00755F99" w:rsidP="00223FC8">
      <w:pPr>
        <w:rPr>
          <w:b/>
          <w:sz w:val="24"/>
          <w:szCs w:val="24"/>
        </w:rPr>
      </w:pPr>
      <w:r>
        <w:rPr>
          <w:b/>
          <w:sz w:val="24"/>
          <w:szCs w:val="24"/>
        </w:rPr>
        <w:t>General Fund Savings Proposals</w:t>
      </w:r>
      <w:r w:rsidR="0097075D">
        <w:rPr>
          <w:b/>
          <w:sz w:val="24"/>
          <w:szCs w:val="24"/>
        </w:rPr>
        <w:t xml:space="preserve"> 2023/24</w:t>
      </w:r>
    </w:p>
    <w:p w:rsidR="0032522F" w:rsidRDefault="0032522F" w:rsidP="00223FC8">
      <w:pPr>
        <w:rPr>
          <w:b/>
          <w:sz w:val="32"/>
          <w:szCs w:val="32"/>
        </w:rPr>
      </w:pPr>
    </w:p>
    <w:p w:rsidR="00755F99" w:rsidRDefault="000B2D3B">
      <w:pPr>
        <w:jc w:val="left"/>
        <w:rPr>
          <w:b/>
          <w:sz w:val="32"/>
          <w:szCs w:val="32"/>
        </w:rPr>
      </w:pPr>
      <w:r w:rsidRPr="000B2D3B">
        <w:rPr>
          <w:noProof/>
        </w:rPr>
        <w:drawing>
          <wp:inline distT="0" distB="0" distL="0" distR="0">
            <wp:extent cx="4008120" cy="3169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8120" cy="3169920"/>
                    </a:xfrm>
                    <a:prstGeom prst="rect">
                      <a:avLst/>
                    </a:prstGeom>
                    <a:noFill/>
                    <a:ln>
                      <a:noFill/>
                    </a:ln>
                  </pic:spPr>
                </pic:pic>
              </a:graphicData>
            </a:graphic>
          </wp:inline>
        </w:drawing>
      </w:r>
      <w:r w:rsidR="00755F99">
        <w:rPr>
          <w:b/>
          <w:sz w:val="32"/>
          <w:szCs w:val="32"/>
        </w:rPr>
        <w:br w:type="page"/>
      </w:r>
    </w:p>
    <w:p w:rsidR="00FF1195" w:rsidRDefault="00611F1A" w:rsidP="00223FC8">
      <w:pPr>
        <w:rPr>
          <w:b/>
          <w:sz w:val="32"/>
          <w:szCs w:val="32"/>
        </w:rPr>
      </w:pPr>
      <w:r w:rsidRPr="00537DC3">
        <w:rPr>
          <w:b/>
          <w:sz w:val="32"/>
          <w:szCs w:val="32"/>
        </w:rPr>
        <w:t>Ap</w:t>
      </w:r>
      <w:r w:rsidR="005472C8" w:rsidRPr="00D53DE6">
        <w:rPr>
          <w:b/>
          <w:sz w:val="32"/>
          <w:szCs w:val="32"/>
        </w:rPr>
        <w:t xml:space="preserve">pendix </w:t>
      </w:r>
      <w:r w:rsidR="003B0BE7">
        <w:rPr>
          <w:b/>
          <w:sz w:val="32"/>
          <w:szCs w:val="32"/>
        </w:rPr>
        <w:t>3</w:t>
      </w:r>
    </w:p>
    <w:p w:rsidR="003B0BE7" w:rsidRDefault="003B0BE7" w:rsidP="00223FC8">
      <w:pPr>
        <w:rPr>
          <w:b/>
          <w:sz w:val="32"/>
          <w:szCs w:val="32"/>
        </w:rPr>
      </w:pPr>
    </w:p>
    <w:p w:rsidR="00980AE0" w:rsidRPr="00980AE0" w:rsidRDefault="00980AE0" w:rsidP="00980AE0">
      <w:pPr>
        <w:jc w:val="left"/>
        <w:rPr>
          <w:b/>
          <w:sz w:val="24"/>
          <w:szCs w:val="24"/>
        </w:rPr>
      </w:pPr>
      <w:r>
        <w:rPr>
          <w:b/>
          <w:sz w:val="24"/>
          <w:szCs w:val="24"/>
        </w:rPr>
        <w:t>Housing Revenue Account</w:t>
      </w:r>
      <w:r w:rsidRPr="00656AD3">
        <w:rPr>
          <w:b/>
          <w:sz w:val="24"/>
          <w:szCs w:val="24"/>
        </w:rPr>
        <w:t xml:space="preserve"> Proposed Budgets</w:t>
      </w:r>
      <w:r>
        <w:rPr>
          <w:b/>
          <w:sz w:val="24"/>
          <w:szCs w:val="24"/>
        </w:rPr>
        <w:t xml:space="preserve">, </w:t>
      </w:r>
      <w:r w:rsidR="0097075D">
        <w:rPr>
          <w:b/>
          <w:sz w:val="24"/>
          <w:szCs w:val="24"/>
        </w:rPr>
        <w:t>2023/24 to 2025/26</w:t>
      </w:r>
    </w:p>
    <w:p w:rsidR="00980AE0" w:rsidRDefault="00980AE0" w:rsidP="00223FC8">
      <w:pPr>
        <w:rPr>
          <w:b/>
          <w:sz w:val="32"/>
          <w:szCs w:val="32"/>
        </w:rPr>
      </w:pPr>
    </w:p>
    <w:p w:rsidR="00980AE0" w:rsidRPr="00611F1A" w:rsidRDefault="004B7C20" w:rsidP="00223FC8">
      <w:pPr>
        <w:rPr>
          <w:b/>
          <w:sz w:val="32"/>
          <w:szCs w:val="32"/>
        </w:rPr>
      </w:pPr>
      <w:r w:rsidRPr="004B7C20">
        <w:rPr>
          <w:noProof/>
        </w:rPr>
        <w:drawing>
          <wp:inline distT="0" distB="0" distL="0" distR="0" wp14:anchorId="0B2CCA78" wp14:editId="30D127E2">
            <wp:extent cx="4762500" cy="53644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5364480"/>
                    </a:xfrm>
                    <a:prstGeom prst="rect">
                      <a:avLst/>
                    </a:prstGeom>
                    <a:noFill/>
                    <a:ln>
                      <a:noFill/>
                    </a:ln>
                  </pic:spPr>
                </pic:pic>
              </a:graphicData>
            </a:graphic>
          </wp:inline>
        </w:drawing>
      </w:r>
    </w:p>
    <w:p w:rsidR="00F150DB" w:rsidRDefault="00F150DB"/>
    <w:p w:rsidR="00FA3784" w:rsidRDefault="00FA3784" w:rsidP="00FA3784">
      <w:pPr>
        <w:jc w:val="left"/>
        <w:outlineLvl w:val="0"/>
        <w:rPr>
          <w:sz w:val="24"/>
          <w:szCs w:val="24"/>
        </w:rPr>
      </w:pPr>
    </w:p>
    <w:p w:rsidR="007647F3" w:rsidRDefault="007647F3" w:rsidP="00FA3784">
      <w:pPr>
        <w:jc w:val="left"/>
        <w:outlineLvl w:val="0"/>
        <w:rPr>
          <w:sz w:val="24"/>
          <w:szCs w:val="24"/>
        </w:rPr>
      </w:pPr>
    </w:p>
    <w:p w:rsidR="007647F3" w:rsidRDefault="007647F3" w:rsidP="00FA3784">
      <w:pPr>
        <w:jc w:val="left"/>
        <w:outlineLvl w:val="0"/>
        <w:rPr>
          <w:sz w:val="24"/>
          <w:szCs w:val="24"/>
        </w:rPr>
      </w:pPr>
    </w:p>
    <w:p w:rsidR="007647F3" w:rsidRDefault="007647F3" w:rsidP="00FA3784">
      <w:pPr>
        <w:jc w:val="left"/>
        <w:outlineLvl w:val="0"/>
        <w:rPr>
          <w:sz w:val="24"/>
          <w:szCs w:val="24"/>
        </w:rPr>
      </w:pPr>
    </w:p>
    <w:p w:rsidR="007647F3" w:rsidRDefault="007647F3" w:rsidP="00FA3784">
      <w:pPr>
        <w:jc w:val="left"/>
        <w:outlineLvl w:val="0"/>
        <w:rPr>
          <w:sz w:val="24"/>
          <w:szCs w:val="24"/>
        </w:rPr>
      </w:pPr>
    </w:p>
    <w:p w:rsidR="007647F3" w:rsidRDefault="007647F3" w:rsidP="00FA3784">
      <w:pPr>
        <w:jc w:val="left"/>
        <w:outlineLvl w:val="0"/>
        <w:rPr>
          <w:sz w:val="24"/>
          <w:szCs w:val="24"/>
        </w:rPr>
      </w:pPr>
    </w:p>
    <w:p w:rsidR="007647F3" w:rsidRDefault="007647F3" w:rsidP="00FA3784">
      <w:pPr>
        <w:jc w:val="left"/>
        <w:outlineLvl w:val="0"/>
        <w:rPr>
          <w:sz w:val="24"/>
          <w:szCs w:val="24"/>
        </w:rPr>
      </w:pPr>
    </w:p>
    <w:p w:rsidR="007647F3" w:rsidRDefault="007647F3" w:rsidP="00FA3784">
      <w:pPr>
        <w:jc w:val="left"/>
        <w:outlineLvl w:val="0"/>
        <w:rPr>
          <w:sz w:val="24"/>
          <w:szCs w:val="24"/>
        </w:rPr>
      </w:pPr>
    </w:p>
    <w:p w:rsidR="00FA3784" w:rsidRDefault="00FA3784" w:rsidP="00FA3784">
      <w:pPr>
        <w:jc w:val="left"/>
        <w:outlineLvl w:val="0"/>
        <w:rPr>
          <w:sz w:val="24"/>
          <w:szCs w:val="24"/>
        </w:rPr>
      </w:pPr>
    </w:p>
    <w:p w:rsidR="00FA3B27" w:rsidRPr="00E33107" w:rsidRDefault="00FA3B27" w:rsidP="00FA3784">
      <w:pPr>
        <w:jc w:val="left"/>
        <w:outlineLvl w:val="0"/>
        <w:rPr>
          <w:sz w:val="24"/>
          <w:szCs w:val="24"/>
        </w:rPr>
      </w:pPr>
    </w:p>
    <w:p w:rsidR="00755F99" w:rsidRDefault="00755F99">
      <w:pPr>
        <w:jc w:val="left"/>
        <w:rPr>
          <w:b/>
          <w:sz w:val="32"/>
          <w:szCs w:val="32"/>
        </w:rPr>
      </w:pPr>
    </w:p>
    <w:p w:rsidR="00961E47" w:rsidRDefault="00961E47" w:rsidP="00692568">
      <w:pPr>
        <w:rPr>
          <w:b/>
          <w:sz w:val="32"/>
          <w:szCs w:val="32"/>
        </w:rPr>
      </w:pPr>
    </w:p>
    <w:p w:rsidR="00961E47" w:rsidRDefault="00961E47" w:rsidP="00692568">
      <w:pPr>
        <w:rPr>
          <w:b/>
          <w:sz w:val="32"/>
          <w:szCs w:val="32"/>
        </w:rPr>
      </w:pPr>
    </w:p>
    <w:p w:rsidR="00692568" w:rsidRDefault="00692568" w:rsidP="00692568">
      <w:pPr>
        <w:rPr>
          <w:b/>
          <w:sz w:val="32"/>
          <w:szCs w:val="32"/>
        </w:rPr>
      </w:pPr>
      <w:r w:rsidRPr="00537DC3">
        <w:rPr>
          <w:b/>
          <w:sz w:val="32"/>
          <w:szCs w:val="32"/>
        </w:rPr>
        <w:t>Ap</w:t>
      </w:r>
      <w:r w:rsidRPr="00D53DE6">
        <w:rPr>
          <w:b/>
          <w:sz w:val="32"/>
          <w:szCs w:val="32"/>
        </w:rPr>
        <w:t xml:space="preserve">pendix </w:t>
      </w:r>
      <w:r w:rsidR="003B0BE7">
        <w:rPr>
          <w:b/>
          <w:sz w:val="32"/>
          <w:szCs w:val="32"/>
        </w:rPr>
        <w:t>4</w:t>
      </w:r>
    </w:p>
    <w:p w:rsidR="00C14F0A" w:rsidRDefault="00C14F0A" w:rsidP="00692568">
      <w:pPr>
        <w:rPr>
          <w:b/>
          <w:sz w:val="32"/>
          <w:szCs w:val="32"/>
        </w:rPr>
      </w:pPr>
    </w:p>
    <w:tbl>
      <w:tblPr>
        <w:tblW w:w="8960" w:type="dxa"/>
        <w:tblLook w:val="04A0" w:firstRow="1" w:lastRow="0" w:firstColumn="1" w:lastColumn="0" w:noHBand="0" w:noVBand="1"/>
      </w:tblPr>
      <w:tblGrid>
        <w:gridCol w:w="6080"/>
        <w:gridCol w:w="960"/>
        <w:gridCol w:w="960"/>
        <w:gridCol w:w="960"/>
      </w:tblGrid>
      <w:tr w:rsidR="00F92C12" w:rsidRPr="00F92C12" w:rsidTr="00F92C12">
        <w:trPr>
          <w:trHeight w:val="321"/>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4"/>
                <w:szCs w:val="24"/>
              </w:rPr>
            </w:pPr>
            <w:r w:rsidRPr="00F92C12">
              <w:rPr>
                <w:rFonts w:cs="Arial"/>
                <w:b/>
                <w:bCs/>
                <w:color w:val="000000"/>
                <w:sz w:val="24"/>
                <w:szCs w:val="24"/>
              </w:rPr>
              <w:t xml:space="preserve">Capital Programme - General Fund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r>
      <w:tr w:rsidR="00F92C12" w:rsidRPr="00F92C12" w:rsidTr="00F92C12">
        <w:trPr>
          <w:trHeight w:val="321"/>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vMerge w:val="restart"/>
            <w:tcBorders>
              <w:top w:val="nil"/>
              <w:left w:val="nil"/>
              <w:bottom w:val="single" w:sz="4" w:space="0" w:color="000000"/>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23/24 £000</w:t>
            </w:r>
          </w:p>
        </w:tc>
        <w:tc>
          <w:tcPr>
            <w:tcW w:w="960" w:type="dxa"/>
            <w:vMerge w:val="restart"/>
            <w:tcBorders>
              <w:top w:val="nil"/>
              <w:left w:val="nil"/>
              <w:bottom w:val="single" w:sz="4" w:space="0" w:color="000000"/>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24/25 £000</w:t>
            </w:r>
          </w:p>
        </w:tc>
        <w:tc>
          <w:tcPr>
            <w:tcW w:w="960" w:type="dxa"/>
            <w:vMerge w:val="restart"/>
            <w:tcBorders>
              <w:top w:val="nil"/>
              <w:left w:val="nil"/>
              <w:bottom w:val="single" w:sz="4" w:space="0" w:color="000000"/>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25/26 £000</w:t>
            </w:r>
          </w:p>
        </w:tc>
      </w:tr>
      <w:tr w:rsidR="00F92C12" w:rsidRPr="00F92C12" w:rsidTr="00F92C12">
        <w:trPr>
          <w:trHeight w:val="288"/>
        </w:trPr>
        <w:tc>
          <w:tcPr>
            <w:tcW w:w="6080" w:type="dxa"/>
            <w:tcBorders>
              <w:top w:val="nil"/>
              <w:left w:val="nil"/>
              <w:bottom w:val="single" w:sz="4" w:space="0" w:color="auto"/>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vMerge/>
            <w:tcBorders>
              <w:top w:val="nil"/>
              <w:left w:val="nil"/>
              <w:bottom w:val="single" w:sz="4" w:space="0" w:color="000000"/>
              <w:right w:val="nil"/>
            </w:tcBorders>
            <w:vAlign w:val="center"/>
            <w:hideMark/>
          </w:tcPr>
          <w:p w:rsidR="00F92C12" w:rsidRPr="00F92C12" w:rsidRDefault="00F92C12" w:rsidP="00F92C12">
            <w:pPr>
              <w:jc w:val="left"/>
              <w:rPr>
                <w:rFonts w:cs="Arial"/>
                <w:b/>
                <w:bCs/>
                <w:color w:val="000000"/>
                <w:sz w:val="20"/>
                <w:szCs w:val="20"/>
              </w:rPr>
            </w:pPr>
          </w:p>
        </w:tc>
        <w:tc>
          <w:tcPr>
            <w:tcW w:w="960" w:type="dxa"/>
            <w:vMerge/>
            <w:tcBorders>
              <w:top w:val="nil"/>
              <w:left w:val="nil"/>
              <w:bottom w:val="single" w:sz="4" w:space="0" w:color="000000"/>
              <w:right w:val="nil"/>
            </w:tcBorders>
            <w:vAlign w:val="center"/>
            <w:hideMark/>
          </w:tcPr>
          <w:p w:rsidR="00F92C12" w:rsidRPr="00F92C12" w:rsidRDefault="00F92C12" w:rsidP="00F92C12">
            <w:pPr>
              <w:jc w:val="left"/>
              <w:rPr>
                <w:rFonts w:cs="Arial"/>
                <w:b/>
                <w:bCs/>
                <w:color w:val="000000"/>
                <w:sz w:val="20"/>
                <w:szCs w:val="20"/>
              </w:rPr>
            </w:pPr>
          </w:p>
        </w:tc>
        <w:tc>
          <w:tcPr>
            <w:tcW w:w="960" w:type="dxa"/>
            <w:vMerge/>
            <w:tcBorders>
              <w:top w:val="nil"/>
              <w:left w:val="nil"/>
              <w:bottom w:val="single" w:sz="4" w:space="0" w:color="000000"/>
              <w:right w:val="nil"/>
            </w:tcBorders>
            <w:vAlign w:val="center"/>
            <w:hideMark/>
          </w:tcPr>
          <w:p w:rsidR="00F92C12" w:rsidRPr="00F92C12" w:rsidRDefault="00F92C12" w:rsidP="00F92C12">
            <w:pPr>
              <w:jc w:val="left"/>
              <w:rPr>
                <w:rFonts w:cs="Arial"/>
                <w:b/>
                <w:bCs/>
                <w:color w:val="000000"/>
                <w:sz w:val="20"/>
                <w:szCs w:val="20"/>
              </w:rPr>
            </w:pP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Head of Housing</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Newgate Lane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Mfd.Woodhouse</w:t>
            </w:r>
            <w:proofErr w:type="spellEnd"/>
            <w:r w:rsidRPr="00F92C12">
              <w:rPr>
                <w:rFonts w:cs="Arial"/>
                <w:color w:val="000000"/>
                <w:sz w:val="20"/>
                <w:szCs w:val="20"/>
              </w:rPr>
              <w:t xml:space="preserve"> Renewal Area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Warsop</w:t>
            </w:r>
            <w:proofErr w:type="spellEnd"/>
            <w:r w:rsidRPr="00F92C12">
              <w:rPr>
                <w:rFonts w:cs="Arial"/>
                <w:color w:val="000000"/>
                <w:sz w:val="20"/>
                <w:szCs w:val="20"/>
              </w:rPr>
              <w:t xml:space="preserve"> Vale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Disabled Facilities Grant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720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Warm Homes Healthy People BCF</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153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Warm Homes MDC</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Green Homes Grant Phase 2</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Green Homes Green Grant Phase 3</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176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Discretionary Assistance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285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285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285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House Renovations Grant</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Private Sector </w:t>
            </w:r>
            <w:proofErr w:type="spellStart"/>
            <w:r w:rsidRPr="00F92C12">
              <w:rPr>
                <w:rFonts w:cs="Arial"/>
                <w:color w:val="000000"/>
                <w:sz w:val="20"/>
                <w:szCs w:val="20"/>
              </w:rPr>
              <w:t>Hsg</w:t>
            </w:r>
            <w:proofErr w:type="spellEnd"/>
            <w:r w:rsidRPr="00F92C12">
              <w:rPr>
                <w:rFonts w:cs="Arial"/>
                <w:color w:val="000000"/>
                <w:sz w:val="20"/>
                <w:szCs w:val="20"/>
              </w:rPr>
              <w:t xml:space="preserve"> Assistance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100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Housing Company</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196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Total Head of Neighbourhood Services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1,737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1,125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1,125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Head of Neighbourhood Services</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vAlign w:val="center"/>
            <w:hideMark/>
          </w:tcPr>
          <w:p w:rsidR="00F92C12" w:rsidRPr="00F92C12" w:rsidRDefault="00F92C12" w:rsidP="00F92C12">
            <w:pPr>
              <w:jc w:val="center"/>
              <w:rPr>
                <w:rFonts w:cs="Arial"/>
                <w:b/>
                <w:bCs/>
                <w:color w:val="000000"/>
                <w:sz w:val="20"/>
                <w:szCs w:val="20"/>
              </w:rPr>
            </w:pPr>
            <w:r w:rsidRPr="00F92C12">
              <w:rPr>
                <w:rFonts w:cs="Arial"/>
                <w:b/>
                <w:bCs/>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Fleet Vehicle Acquisition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1,545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730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1,340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S106 funded schemes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104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Cemeteries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28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Cemeteries Infrastructure</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1,779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Total Head of Neighbourhood Services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3,456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730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1,340 </w:t>
            </w:r>
          </w:p>
        </w:tc>
      </w:tr>
    </w:tbl>
    <w:p w:rsidR="00692568" w:rsidRDefault="00692568"/>
    <w:tbl>
      <w:tblPr>
        <w:tblW w:w="8960" w:type="dxa"/>
        <w:tblLook w:val="04A0" w:firstRow="1" w:lastRow="0" w:firstColumn="1" w:lastColumn="0" w:noHBand="0" w:noVBand="1"/>
      </w:tblPr>
      <w:tblGrid>
        <w:gridCol w:w="6080"/>
        <w:gridCol w:w="960"/>
        <w:gridCol w:w="960"/>
        <w:gridCol w:w="960"/>
      </w:tblGrid>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Head of Planning and Regeneration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Town Centre Gateway</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133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Mansfield Townscape HLF Funded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687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Destination Mansfield Parks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2,000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Woodhouse Micro Tech Units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406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SMART Mansfield</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700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WNC Future Tech Knowledge and Skills</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656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3,269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Total Head of Planning and Regeneration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4,582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3,269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Head of Health and Communities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Disability Access </w:t>
            </w:r>
            <w:proofErr w:type="spellStart"/>
            <w:r w:rsidRPr="00F92C12">
              <w:rPr>
                <w:rFonts w:cs="Arial"/>
                <w:color w:val="000000"/>
                <w:sz w:val="20"/>
                <w:szCs w:val="20"/>
              </w:rPr>
              <w:t>Wks-LCentres</w:t>
            </w:r>
            <w:proofErr w:type="spellEnd"/>
            <w:r w:rsidRPr="00F92C12">
              <w:rPr>
                <w:rFonts w:cs="Arial"/>
                <w:color w:val="000000"/>
                <w:sz w:val="20"/>
                <w:szCs w:val="20"/>
              </w:rPr>
              <w:t xml:space="preserve">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41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Leisure Centres PPW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275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38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Rebecca Adlington Leisure Centre (RALC) Roof</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550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Theatre and Museum Enhancements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201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r>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Changing Places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Warsop</w:t>
            </w:r>
            <w:proofErr w:type="spellEnd"/>
            <w:r w:rsidRPr="00F92C12">
              <w:rPr>
                <w:rFonts w:cs="Arial"/>
                <w:color w:val="000000"/>
                <w:sz w:val="20"/>
                <w:szCs w:val="20"/>
              </w:rPr>
              <w:t xml:space="preserve"> Health Hub</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2,750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Total Head of Health and Communities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3,795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325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43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Default="00F92C12" w:rsidP="00F92C12">
            <w:pPr>
              <w:jc w:val="left"/>
              <w:rPr>
                <w:rFonts w:cs="Arial"/>
                <w:b/>
                <w:bCs/>
                <w:color w:val="000000"/>
                <w:sz w:val="20"/>
                <w:szCs w:val="20"/>
              </w:rPr>
            </w:pPr>
            <w:r w:rsidRPr="00F92C12">
              <w:rPr>
                <w:rFonts w:cs="Arial"/>
                <w:b/>
                <w:bCs/>
                <w:color w:val="000000"/>
                <w:sz w:val="20"/>
                <w:szCs w:val="20"/>
              </w:rPr>
              <w:t> </w:t>
            </w:r>
          </w:p>
          <w:p w:rsidR="00F92C12" w:rsidRDefault="00F92C12" w:rsidP="00F92C12">
            <w:pPr>
              <w:jc w:val="left"/>
              <w:rPr>
                <w:rFonts w:cs="Arial"/>
                <w:b/>
                <w:bCs/>
                <w:color w:val="000000"/>
                <w:sz w:val="20"/>
                <w:szCs w:val="20"/>
              </w:rPr>
            </w:pPr>
          </w:p>
          <w:p w:rsidR="00F92C12" w:rsidRDefault="00F92C12" w:rsidP="00F92C12">
            <w:pPr>
              <w:jc w:val="left"/>
              <w:rPr>
                <w:rFonts w:cs="Arial"/>
                <w:b/>
                <w:bCs/>
                <w:color w:val="000000"/>
                <w:sz w:val="20"/>
                <w:szCs w:val="20"/>
              </w:rPr>
            </w:pPr>
          </w:p>
          <w:p w:rsidR="00F92C12" w:rsidRPr="00F92C12" w:rsidRDefault="00F92C12" w:rsidP="00F92C12">
            <w:pPr>
              <w:jc w:val="left"/>
              <w:rPr>
                <w:rFonts w:cs="Arial"/>
                <w:b/>
                <w:bCs/>
                <w:color w:val="000000"/>
                <w:sz w:val="20"/>
                <w:szCs w:val="20"/>
              </w:rPr>
            </w:pP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Head of Finance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Works to Council owned property</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12,153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6,472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Total Head of Finance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12,153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6,472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0 </w:t>
            </w:r>
          </w:p>
        </w:tc>
      </w:tr>
    </w:tbl>
    <w:p w:rsidR="00F92C12" w:rsidRDefault="00F92C12"/>
    <w:tbl>
      <w:tblPr>
        <w:tblW w:w="8960" w:type="dxa"/>
        <w:tblLook w:val="04A0" w:firstRow="1" w:lastRow="0" w:firstColumn="1" w:lastColumn="0" w:noHBand="0" w:noVBand="1"/>
      </w:tblPr>
      <w:tblGrid>
        <w:gridCol w:w="6080"/>
        <w:gridCol w:w="960"/>
        <w:gridCol w:w="960"/>
        <w:gridCol w:w="960"/>
      </w:tblGrid>
      <w:tr w:rsidR="00F92C12" w:rsidRPr="00F92C12" w:rsidTr="00F92C12">
        <w:trPr>
          <w:trHeight w:val="288"/>
        </w:trPr>
        <w:tc>
          <w:tcPr>
            <w:tcW w:w="6080" w:type="dxa"/>
            <w:tcBorders>
              <w:top w:val="nil"/>
              <w:left w:val="nil"/>
              <w:bottom w:val="nil"/>
              <w:right w:val="nil"/>
            </w:tcBorders>
            <w:shd w:val="clear" w:color="000000" w:fill="FFFFFF"/>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Head of People and Transformation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ICT Renewal</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180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204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Civic Centre - LED Lighting</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Civic Centre - Building Works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Civic Centre Lift Replacements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200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Civic Centre - Automatic door replacement</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Walkden</w:t>
            </w:r>
            <w:proofErr w:type="spellEnd"/>
            <w:r w:rsidRPr="00F92C12">
              <w:rPr>
                <w:rFonts w:cs="Arial"/>
                <w:color w:val="000000"/>
                <w:sz w:val="20"/>
                <w:szCs w:val="20"/>
              </w:rPr>
              <w:t xml:space="preserve"> St CP - Roof and corridor</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Walkden</w:t>
            </w:r>
            <w:proofErr w:type="spellEnd"/>
            <w:r w:rsidRPr="00F92C12">
              <w:rPr>
                <w:rFonts w:cs="Arial"/>
                <w:color w:val="000000"/>
                <w:sz w:val="20"/>
                <w:szCs w:val="20"/>
              </w:rPr>
              <w:t xml:space="preserve"> St Car Park Lifts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350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Walkden</w:t>
            </w:r>
            <w:proofErr w:type="spellEnd"/>
            <w:r w:rsidRPr="00F92C12">
              <w:rPr>
                <w:rFonts w:cs="Arial"/>
                <w:color w:val="000000"/>
                <w:sz w:val="20"/>
                <w:szCs w:val="20"/>
              </w:rPr>
              <w:t xml:space="preserve"> St CP Resurfacing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375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Four Seasons Concrete Repairs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130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Four Seasons CP </w:t>
            </w:r>
            <w:proofErr w:type="spellStart"/>
            <w:r w:rsidRPr="00F92C12">
              <w:rPr>
                <w:rFonts w:cs="Arial"/>
                <w:color w:val="000000"/>
                <w:sz w:val="20"/>
                <w:szCs w:val="20"/>
              </w:rPr>
              <w:t>Resurfing</w:t>
            </w:r>
            <w:proofErr w:type="spellEnd"/>
            <w:r w:rsidRPr="00F92C12">
              <w:rPr>
                <w:rFonts w:cs="Arial"/>
                <w:color w:val="000000"/>
                <w:sz w:val="20"/>
                <w:szCs w:val="20"/>
              </w:rPr>
              <w:t xml:space="preserve"> Upper deck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500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Mansfield Theatre - </w:t>
            </w:r>
            <w:proofErr w:type="spellStart"/>
            <w:r w:rsidRPr="00F92C12">
              <w:rPr>
                <w:rFonts w:cs="Arial"/>
                <w:color w:val="000000"/>
                <w:sz w:val="20"/>
                <w:szCs w:val="20"/>
              </w:rPr>
              <w:t>Liift</w:t>
            </w:r>
            <w:proofErr w:type="spellEnd"/>
            <w:r w:rsidRPr="00F92C12">
              <w:rPr>
                <w:rFonts w:cs="Arial"/>
                <w:color w:val="000000"/>
                <w:sz w:val="20"/>
                <w:szCs w:val="20"/>
              </w:rPr>
              <w:t xml:space="preserve"> upgrade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80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 - Lighting upgrade (LED)</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Theatre/Museum - Replacement of sections glass atrium</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75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 - Flat roof replacement</w:t>
            </w:r>
          </w:p>
        </w:tc>
        <w:tc>
          <w:tcPr>
            <w:tcW w:w="960" w:type="dxa"/>
            <w:tcBorders>
              <w:top w:val="nil"/>
              <w:left w:val="nil"/>
              <w:bottom w:val="nil"/>
              <w:right w:val="nil"/>
            </w:tcBorders>
            <w:shd w:val="clear" w:color="auto" w:fill="auto"/>
            <w:noWrap/>
            <w:vAlign w:val="bottom"/>
            <w:hideMark/>
          </w:tcPr>
          <w:p w:rsidR="00F92C12" w:rsidRPr="00F92C12" w:rsidRDefault="00F92C12" w:rsidP="00F92C12">
            <w:pPr>
              <w:jc w:val="right"/>
              <w:rPr>
                <w:rFonts w:ascii="Calibri" w:hAnsi="Calibri" w:cs="Calibri"/>
                <w:color w:val="000000"/>
              </w:rPr>
            </w:pPr>
            <w:r w:rsidRPr="00F92C12">
              <w:rPr>
                <w:rFonts w:ascii="Calibri" w:hAnsi="Calibri" w:cs="Calibri"/>
                <w:color w:val="000000"/>
              </w:rPr>
              <w:t>54</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Theatre/Museum - Cyclical decoration scheme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31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31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 - Suspended ceiling and floor coverings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25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Theatre/Museum - Refurbishment of toilets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 - Replacement of aluminium double door</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540"/>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Theatre/Museum - Replacement of single glazed windows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Theatre/Museum - Replace tarmacadam surface course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11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Theatre - life cycle replacement works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166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72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Museum - Lighting upgrade (LED)</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Mansfield Theatre - Air conditioning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150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vAlign w:val="bottom"/>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Museum - life cycle replacement works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94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Hermitage Lane Depot</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239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300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Queens Place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Grove Street</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71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Regents Street</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23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2 Regent Chambers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18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Langford Road BP</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Railway Station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Old Town Hall - Removal of old toilet block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35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Various Sites - Fire Risk management works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48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Various Sites - Asbestos abatement works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Various Sites - Asset Condition survey work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130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177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100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Statutory Compliance Assessments/Inspections (Consultancy)</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Berry Hill Quarry Stabilisation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1,349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Rock Hill Cliff Stabilisation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140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Parks Bridges</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100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Berry Hill Park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270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Public Toilets - High Street </w:t>
            </w:r>
            <w:proofErr w:type="spellStart"/>
            <w:r w:rsidRPr="00F92C12">
              <w:rPr>
                <w:rFonts w:cs="Arial"/>
                <w:color w:val="000000"/>
                <w:sz w:val="20"/>
                <w:szCs w:val="20"/>
              </w:rPr>
              <w:t>Warsop</w:t>
            </w:r>
            <w:proofErr w:type="spellEnd"/>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Public Toilets - Rose Lane, Mansfield Woodhouse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Public Toilets - </w:t>
            </w:r>
            <w:proofErr w:type="spellStart"/>
            <w:r w:rsidRPr="00F92C12">
              <w:rPr>
                <w:rFonts w:cs="Arial"/>
                <w:color w:val="000000"/>
                <w:sz w:val="20"/>
                <w:szCs w:val="20"/>
              </w:rPr>
              <w:t>Warsop</w:t>
            </w:r>
            <w:proofErr w:type="spellEnd"/>
            <w:r w:rsidRPr="00F92C12">
              <w:rPr>
                <w:rFonts w:cs="Arial"/>
                <w:color w:val="000000"/>
                <w:sz w:val="20"/>
                <w:szCs w:val="20"/>
              </w:rPr>
              <w:t xml:space="preserve"> Cemetery</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Carr</w:t>
            </w:r>
            <w:proofErr w:type="spellEnd"/>
            <w:r w:rsidRPr="00F92C12">
              <w:rPr>
                <w:rFonts w:cs="Arial"/>
                <w:color w:val="000000"/>
                <w:sz w:val="20"/>
                <w:szCs w:val="20"/>
              </w:rPr>
              <w:t xml:space="preserve"> Lane</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King George V</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 xml:space="preserve">The </w:t>
            </w:r>
            <w:proofErr w:type="spellStart"/>
            <w:r w:rsidRPr="00F92C12">
              <w:rPr>
                <w:rFonts w:cs="Arial"/>
                <w:color w:val="000000"/>
                <w:sz w:val="20"/>
                <w:szCs w:val="20"/>
              </w:rPr>
              <w:t>Carrs</w:t>
            </w:r>
            <w:proofErr w:type="spellEnd"/>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Queensway Park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49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Racecourse Park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14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Manor Park Pavilion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25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25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proofErr w:type="spellStart"/>
            <w:r w:rsidRPr="00F92C12">
              <w:rPr>
                <w:rFonts w:cs="Arial"/>
                <w:color w:val="000000"/>
                <w:sz w:val="20"/>
                <w:szCs w:val="20"/>
              </w:rPr>
              <w:t>Carr</w:t>
            </w:r>
            <w:proofErr w:type="spellEnd"/>
            <w:r w:rsidRPr="00F92C12">
              <w:rPr>
                <w:rFonts w:cs="Arial"/>
                <w:color w:val="000000"/>
                <w:sz w:val="20"/>
                <w:szCs w:val="20"/>
              </w:rPr>
              <w:t xml:space="preserve"> Bank Park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61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Yeoman Hill</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129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Chesterfield Road</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14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Bull Farm Park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Titchfield Park (Awaiting)</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2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Abbotts Park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Closed Churchyard</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50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Cemetery Car Park</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color w:val="000000"/>
                <w:sz w:val="20"/>
                <w:szCs w:val="20"/>
              </w:rPr>
            </w:pPr>
            <w:r w:rsidRPr="00F92C12">
              <w:rPr>
                <w:rFonts w:cs="Arial"/>
                <w:color w:val="000000"/>
                <w:sz w:val="20"/>
                <w:szCs w:val="20"/>
              </w:rPr>
              <w:t>Mansfield Cemetery Road Ways</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30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c>
          <w:tcPr>
            <w:tcW w:w="960" w:type="dxa"/>
            <w:tcBorders>
              <w:top w:val="nil"/>
              <w:left w:val="nil"/>
              <w:bottom w:val="single" w:sz="4" w:space="0" w:color="auto"/>
              <w:right w:val="nil"/>
            </w:tcBorders>
            <w:shd w:val="clear" w:color="000000" w:fill="FFFFFF"/>
            <w:noWrap/>
            <w:vAlign w:val="bottom"/>
            <w:hideMark/>
          </w:tcPr>
          <w:p w:rsidR="00F92C12" w:rsidRPr="00F92C12" w:rsidRDefault="00F92C12" w:rsidP="00F92C12">
            <w:pPr>
              <w:jc w:val="right"/>
              <w:rPr>
                <w:rFonts w:cs="Arial"/>
                <w:color w:val="000000"/>
                <w:sz w:val="20"/>
                <w:szCs w:val="20"/>
              </w:rPr>
            </w:pPr>
            <w:r w:rsidRPr="00F92C12">
              <w:rPr>
                <w:rFonts w:cs="Arial"/>
                <w:color w:val="000000"/>
                <w:sz w:val="20"/>
                <w:szCs w:val="20"/>
              </w:rPr>
              <w:t xml:space="preserve">0 </w:t>
            </w:r>
          </w:p>
        </w:tc>
      </w:tr>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Total Head of People and Transformation</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4,779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1,816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1,125 </w:t>
            </w:r>
          </w:p>
        </w:tc>
      </w:tr>
    </w:tbl>
    <w:p w:rsidR="00C14F0A" w:rsidRDefault="00C14F0A" w:rsidP="00223FC8">
      <w:pPr>
        <w:rPr>
          <w:rFonts w:cs="Arial"/>
          <w:b/>
          <w:sz w:val="32"/>
          <w:szCs w:val="32"/>
        </w:rPr>
      </w:pPr>
    </w:p>
    <w:tbl>
      <w:tblPr>
        <w:tblW w:w="8960" w:type="dxa"/>
        <w:tblLook w:val="04A0" w:firstRow="1" w:lastRow="0" w:firstColumn="1" w:lastColumn="0" w:noHBand="0" w:noVBand="1"/>
      </w:tblPr>
      <w:tblGrid>
        <w:gridCol w:w="6080"/>
        <w:gridCol w:w="960"/>
        <w:gridCol w:w="960"/>
        <w:gridCol w:w="960"/>
      </w:tblGrid>
      <w:tr w:rsidR="00F92C12" w:rsidRPr="00F92C12" w:rsidTr="00F92C12">
        <w:trPr>
          <w:trHeight w:val="288"/>
        </w:trPr>
        <w:tc>
          <w:tcPr>
            <w:tcW w:w="6080" w:type="dxa"/>
            <w:tcBorders>
              <w:top w:val="nil"/>
              <w:left w:val="nil"/>
              <w:bottom w:val="nil"/>
              <w:right w:val="nil"/>
            </w:tcBorders>
            <w:shd w:val="clear" w:color="000000" w:fill="FFFFFF"/>
            <w:noWrap/>
            <w:vAlign w:val="center"/>
            <w:hideMark/>
          </w:tcPr>
          <w:p w:rsidR="00F92C12" w:rsidRPr="00F92C12" w:rsidRDefault="00F92C12" w:rsidP="00F92C12">
            <w:pPr>
              <w:jc w:val="left"/>
              <w:rPr>
                <w:rFonts w:cs="Arial"/>
                <w:b/>
                <w:bCs/>
                <w:color w:val="000000"/>
                <w:sz w:val="20"/>
                <w:szCs w:val="20"/>
              </w:rPr>
            </w:pPr>
            <w:r w:rsidRPr="00F92C12">
              <w:rPr>
                <w:rFonts w:cs="Arial"/>
                <w:b/>
                <w:bCs/>
                <w:color w:val="000000"/>
                <w:sz w:val="20"/>
                <w:szCs w:val="20"/>
              </w:rPr>
              <w:t>General Fund Total</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30,502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13,737 </w:t>
            </w:r>
          </w:p>
        </w:tc>
        <w:tc>
          <w:tcPr>
            <w:tcW w:w="960" w:type="dxa"/>
            <w:tcBorders>
              <w:top w:val="nil"/>
              <w:left w:val="nil"/>
              <w:bottom w:val="nil"/>
              <w:right w:val="nil"/>
            </w:tcBorders>
            <w:shd w:val="clear" w:color="000000" w:fill="FFFFFF"/>
            <w:noWrap/>
            <w:vAlign w:val="bottom"/>
            <w:hideMark/>
          </w:tcPr>
          <w:p w:rsidR="00F92C12" w:rsidRPr="00F92C12" w:rsidRDefault="00F92C12" w:rsidP="00F92C12">
            <w:pPr>
              <w:jc w:val="right"/>
              <w:rPr>
                <w:rFonts w:cs="Arial"/>
                <w:b/>
                <w:bCs/>
                <w:color w:val="000000"/>
                <w:sz w:val="20"/>
                <w:szCs w:val="20"/>
              </w:rPr>
            </w:pPr>
            <w:r w:rsidRPr="00F92C12">
              <w:rPr>
                <w:rFonts w:cs="Arial"/>
                <w:b/>
                <w:bCs/>
                <w:color w:val="000000"/>
                <w:sz w:val="20"/>
                <w:szCs w:val="20"/>
              </w:rPr>
              <w:t xml:space="preserve">3,633 </w:t>
            </w:r>
          </w:p>
        </w:tc>
      </w:tr>
    </w:tbl>
    <w:p w:rsidR="00394C78" w:rsidRDefault="00394C78"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961E47" w:rsidRDefault="00961E47" w:rsidP="00223FC8">
      <w:pPr>
        <w:rPr>
          <w:rFonts w:cs="Arial"/>
          <w:b/>
          <w:sz w:val="32"/>
          <w:szCs w:val="32"/>
        </w:rPr>
      </w:pPr>
    </w:p>
    <w:p w:rsidR="005472C8" w:rsidRPr="0095243C" w:rsidRDefault="00F150DB" w:rsidP="00223FC8">
      <w:pPr>
        <w:rPr>
          <w:rFonts w:cs="Arial"/>
          <w:b/>
          <w:sz w:val="32"/>
          <w:szCs w:val="32"/>
        </w:rPr>
      </w:pPr>
      <w:r w:rsidRPr="0095243C">
        <w:rPr>
          <w:rFonts w:cs="Arial"/>
          <w:b/>
          <w:sz w:val="32"/>
          <w:szCs w:val="32"/>
        </w:rPr>
        <w:t xml:space="preserve">Appendix </w:t>
      </w:r>
      <w:r w:rsidR="003B0BE7">
        <w:rPr>
          <w:rFonts w:cs="Arial"/>
          <w:b/>
          <w:sz w:val="32"/>
          <w:szCs w:val="32"/>
        </w:rPr>
        <w:t>5</w:t>
      </w:r>
    </w:p>
    <w:p w:rsidR="00F150DB" w:rsidRDefault="00F150DB" w:rsidP="00223FC8">
      <w:pPr>
        <w:rPr>
          <w:rFonts w:cs="Arial"/>
          <w:sz w:val="24"/>
          <w:szCs w:val="24"/>
        </w:rPr>
      </w:pPr>
    </w:p>
    <w:p w:rsidR="00B8719C" w:rsidRPr="00F92C12" w:rsidRDefault="00B8719C" w:rsidP="00223FC8">
      <w:pPr>
        <w:rPr>
          <w:rFonts w:cs="Arial"/>
          <w:sz w:val="24"/>
          <w:szCs w:val="24"/>
        </w:rPr>
      </w:pPr>
      <w:r w:rsidRPr="00F92C12">
        <w:rPr>
          <w:rFonts w:cs="Arial"/>
          <w:b/>
          <w:bCs/>
          <w:color w:val="000000"/>
          <w:sz w:val="24"/>
          <w:szCs w:val="24"/>
        </w:rPr>
        <w:t xml:space="preserve">Capital Programme </w:t>
      </w:r>
      <w:r w:rsidR="00AB6235" w:rsidRPr="00F92C12">
        <w:rPr>
          <w:rFonts w:cs="Arial"/>
          <w:b/>
          <w:bCs/>
          <w:color w:val="000000"/>
          <w:sz w:val="24"/>
          <w:szCs w:val="24"/>
        </w:rPr>
        <w:t>–</w:t>
      </w:r>
      <w:r w:rsidRPr="00F92C12">
        <w:rPr>
          <w:rFonts w:cs="Arial"/>
          <w:b/>
          <w:bCs/>
          <w:color w:val="000000"/>
          <w:sz w:val="24"/>
          <w:szCs w:val="24"/>
        </w:rPr>
        <w:t xml:space="preserve"> </w:t>
      </w:r>
      <w:r w:rsidR="00AB6235" w:rsidRPr="00F92C12">
        <w:rPr>
          <w:rFonts w:cs="Arial"/>
          <w:b/>
          <w:bCs/>
          <w:color w:val="000000"/>
          <w:sz w:val="24"/>
          <w:szCs w:val="24"/>
        </w:rPr>
        <w:t>Housing Revenue Account</w:t>
      </w:r>
    </w:p>
    <w:p w:rsidR="00412EA8" w:rsidRDefault="00412EA8" w:rsidP="00276E31"/>
    <w:p w:rsidR="00AB6235" w:rsidRDefault="00F92C12" w:rsidP="00276E31">
      <w:pPr>
        <w:rPr>
          <w:rFonts w:cs="Arial"/>
          <w:sz w:val="24"/>
          <w:szCs w:val="24"/>
        </w:rPr>
      </w:pPr>
      <w:r w:rsidRPr="00F92C12">
        <w:rPr>
          <w:noProof/>
        </w:rPr>
        <w:drawing>
          <wp:inline distT="0" distB="0" distL="0" distR="0" wp14:anchorId="6E4CC0F5" wp14:editId="3528BA13">
            <wp:extent cx="4069080" cy="5265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9080" cy="5265420"/>
                    </a:xfrm>
                    <a:prstGeom prst="rect">
                      <a:avLst/>
                    </a:prstGeom>
                    <a:noFill/>
                    <a:ln>
                      <a:noFill/>
                    </a:ln>
                  </pic:spPr>
                </pic:pic>
              </a:graphicData>
            </a:graphic>
          </wp:inline>
        </w:drawing>
      </w: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DB3FD2" w:rsidRDefault="00DB3FD2" w:rsidP="00276E31">
      <w:pPr>
        <w:rPr>
          <w:rFonts w:cs="Arial"/>
          <w:sz w:val="24"/>
          <w:szCs w:val="24"/>
        </w:rPr>
      </w:pPr>
    </w:p>
    <w:p w:rsidR="00394C78" w:rsidRDefault="00394C78" w:rsidP="00276E31">
      <w:pPr>
        <w:rPr>
          <w:rFonts w:cs="Arial"/>
          <w:b/>
          <w:sz w:val="32"/>
          <w:szCs w:val="32"/>
        </w:rPr>
      </w:pPr>
    </w:p>
    <w:p w:rsidR="0095243C" w:rsidRPr="00B178AB" w:rsidRDefault="00692568" w:rsidP="00B178AB">
      <w:pPr>
        <w:jc w:val="left"/>
        <w:rPr>
          <w:rFonts w:cs="Arial"/>
          <w:sz w:val="24"/>
          <w:szCs w:val="24"/>
        </w:rPr>
      </w:pPr>
      <w:r>
        <w:rPr>
          <w:rFonts w:cs="Arial"/>
          <w:sz w:val="24"/>
          <w:szCs w:val="24"/>
        </w:rPr>
        <w:br w:type="page"/>
      </w:r>
      <w:r w:rsidR="003B0BE7">
        <w:rPr>
          <w:rFonts w:cs="Arial"/>
          <w:b/>
          <w:sz w:val="32"/>
          <w:szCs w:val="32"/>
        </w:rPr>
        <w:t xml:space="preserve">Appendix </w:t>
      </w:r>
      <w:r w:rsidR="00B178AB">
        <w:rPr>
          <w:rFonts w:cs="Arial"/>
          <w:b/>
          <w:sz w:val="32"/>
          <w:szCs w:val="32"/>
        </w:rPr>
        <w:t>6</w:t>
      </w:r>
    </w:p>
    <w:p w:rsidR="00692568" w:rsidRDefault="00692568" w:rsidP="00276E31">
      <w:pPr>
        <w:rPr>
          <w:rFonts w:cs="Arial"/>
          <w:sz w:val="24"/>
          <w:szCs w:val="24"/>
        </w:rPr>
      </w:pPr>
    </w:p>
    <w:p w:rsidR="00692568" w:rsidRPr="00656AD3" w:rsidRDefault="00692568" w:rsidP="00692568">
      <w:pPr>
        <w:ind w:left="720" w:hanging="720"/>
        <w:rPr>
          <w:rFonts w:cs="Arial"/>
          <w:b/>
          <w:sz w:val="24"/>
          <w:szCs w:val="24"/>
        </w:rPr>
      </w:pPr>
      <w:r w:rsidRPr="00BA42A4">
        <w:rPr>
          <w:rFonts w:cs="Arial"/>
          <w:b/>
          <w:sz w:val="24"/>
          <w:szCs w:val="24"/>
        </w:rPr>
        <w:t>Review of Unallocated General Fund Balances</w:t>
      </w:r>
    </w:p>
    <w:p w:rsidR="00692568" w:rsidRPr="00656AD3" w:rsidRDefault="00692568" w:rsidP="00692568">
      <w:pPr>
        <w:ind w:left="720" w:hanging="720"/>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215"/>
        <w:gridCol w:w="911"/>
        <w:gridCol w:w="1134"/>
        <w:gridCol w:w="1468"/>
      </w:tblGrid>
      <w:tr w:rsidR="00692568" w:rsidRPr="00656AD3" w:rsidTr="00964CAF">
        <w:tc>
          <w:tcPr>
            <w:tcW w:w="1951" w:type="dxa"/>
            <w:shd w:val="clear" w:color="auto" w:fill="auto"/>
          </w:tcPr>
          <w:p w:rsidR="00692568" w:rsidRPr="00C91B0E" w:rsidRDefault="00692568" w:rsidP="00964CAF">
            <w:pPr>
              <w:rPr>
                <w:rFonts w:cs="Arial"/>
              </w:rPr>
            </w:pPr>
            <w:r w:rsidRPr="00C91B0E">
              <w:rPr>
                <w:rFonts w:cs="Arial"/>
              </w:rPr>
              <w:t>Risk</w:t>
            </w:r>
          </w:p>
        </w:tc>
        <w:tc>
          <w:tcPr>
            <w:tcW w:w="1843" w:type="dxa"/>
            <w:shd w:val="clear" w:color="auto" w:fill="auto"/>
          </w:tcPr>
          <w:p w:rsidR="00692568" w:rsidRPr="00C91B0E" w:rsidRDefault="00692568" w:rsidP="00964CAF">
            <w:pPr>
              <w:jc w:val="left"/>
              <w:rPr>
                <w:rFonts w:cs="Arial"/>
              </w:rPr>
            </w:pPr>
            <w:r w:rsidRPr="00C91B0E">
              <w:rPr>
                <w:rFonts w:cs="Arial"/>
              </w:rPr>
              <w:t>Mitigation in Strategy</w:t>
            </w:r>
          </w:p>
        </w:tc>
        <w:tc>
          <w:tcPr>
            <w:tcW w:w="1215" w:type="dxa"/>
            <w:shd w:val="clear" w:color="auto" w:fill="auto"/>
          </w:tcPr>
          <w:p w:rsidR="00692568" w:rsidRPr="00C91B0E" w:rsidRDefault="00692568" w:rsidP="00964CAF">
            <w:pPr>
              <w:rPr>
                <w:rFonts w:cs="Arial"/>
              </w:rPr>
            </w:pPr>
            <w:r w:rsidRPr="00C91B0E">
              <w:rPr>
                <w:rFonts w:cs="Arial"/>
              </w:rPr>
              <w:t>Likelihood</w:t>
            </w:r>
          </w:p>
        </w:tc>
        <w:tc>
          <w:tcPr>
            <w:tcW w:w="911" w:type="dxa"/>
            <w:shd w:val="clear" w:color="auto" w:fill="auto"/>
          </w:tcPr>
          <w:p w:rsidR="00692568" w:rsidRPr="00C91B0E" w:rsidRDefault="00692568" w:rsidP="00964CAF">
            <w:pPr>
              <w:rPr>
                <w:rFonts w:cs="Arial"/>
              </w:rPr>
            </w:pPr>
            <w:r w:rsidRPr="00C91B0E">
              <w:rPr>
                <w:rFonts w:cs="Arial"/>
              </w:rPr>
              <w:t>Impact</w:t>
            </w:r>
          </w:p>
        </w:tc>
        <w:tc>
          <w:tcPr>
            <w:tcW w:w="1134" w:type="dxa"/>
            <w:shd w:val="clear" w:color="auto" w:fill="auto"/>
          </w:tcPr>
          <w:p w:rsidR="00692568" w:rsidRPr="00C91B0E" w:rsidRDefault="00692568" w:rsidP="00964CAF">
            <w:pPr>
              <w:rPr>
                <w:rFonts w:cs="Arial"/>
              </w:rPr>
            </w:pPr>
            <w:r w:rsidRPr="00C91B0E">
              <w:rPr>
                <w:rFonts w:cs="Arial"/>
              </w:rPr>
              <w:t>Risk</w:t>
            </w:r>
          </w:p>
        </w:tc>
        <w:tc>
          <w:tcPr>
            <w:tcW w:w="1468" w:type="dxa"/>
            <w:shd w:val="clear" w:color="auto" w:fill="auto"/>
          </w:tcPr>
          <w:p w:rsidR="00692568" w:rsidRPr="00C91B0E" w:rsidRDefault="00692568" w:rsidP="00964CAF">
            <w:pPr>
              <w:rPr>
                <w:rFonts w:cs="Arial"/>
              </w:rPr>
            </w:pPr>
            <w:r w:rsidRPr="00C91B0E">
              <w:rPr>
                <w:rFonts w:cs="Arial"/>
              </w:rPr>
              <w:t>Reserve requirement</w:t>
            </w:r>
          </w:p>
          <w:p w:rsidR="00692568" w:rsidRPr="00C91B0E" w:rsidRDefault="00692568" w:rsidP="00964CAF">
            <w:pPr>
              <w:rPr>
                <w:rFonts w:cs="Arial"/>
              </w:rPr>
            </w:pPr>
            <w:r w:rsidRPr="00C91B0E">
              <w:rPr>
                <w:rFonts w:cs="Arial"/>
              </w:rPr>
              <w:t>£</w:t>
            </w:r>
          </w:p>
        </w:tc>
      </w:tr>
      <w:tr w:rsidR="00692568" w:rsidRPr="00656AD3" w:rsidTr="00964CAF">
        <w:tc>
          <w:tcPr>
            <w:tcW w:w="1951" w:type="dxa"/>
            <w:shd w:val="clear" w:color="auto" w:fill="auto"/>
          </w:tcPr>
          <w:p w:rsidR="00692568" w:rsidRPr="00656AD3" w:rsidRDefault="00692568" w:rsidP="00964CAF">
            <w:pPr>
              <w:jc w:val="left"/>
              <w:rPr>
                <w:rFonts w:cs="Arial"/>
                <w:sz w:val="24"/>
                <w:szCs w:val="24"/>
              </w:rPr>
            </w:pPr>
            <w:r w:rsidRPr="00656AD3">
              <w:rPr>
                <w:rFonts w:cs="Arial"/>
                <w:sz w:val="24"/>
                <w:szCs w:val="24"/>
              </w:rPr>
              <w:t>Interest rates do not increase in line with projections, or the Bank of England reduce interest rat</w:t>
            </w:r>
            <w:r>
              <w:rPr>
                <w:rFonts w:cs="Arial"/>
                <w:sz w:val="24"/>
                <w:szCs w:val="24"/>
              </w:rPr>
              <w:t>es to limit the impact of Covid-19</w:t>
            </w:r>
            <w:r w:rsidRPr="00656AD3">
              <w:rPr>
                <w:rFonts w:cs="Arial"/>
                <w:sz w:val="24"/>
                <w:szCs w:val="24"/>
              </w:rPr>
              <w:t xml:space="preserve">,  resulting in lower than anticipated investment income compared to the approved budgeted </w:t>
            </w:r>
          </w:p>
        </w:tc>
        <w:tc>
          <w:tcPr>
            <w:tcW w:w="1843" w:type="dxa"/>
            <w:shd w:val="clear" w:color="auto" w:fill="auto"/>
          </w:tcPr>
          <w:p w:rsidR="00692568" w:rsidRPr="00656AD3" w:rsidRDefault="00692568" w:rsidP="00964CAF">
            <w:pPr>
              <w:jc w:val="left"/>
              <w:rPr>
                <w:rFonts w:cs="Arial"/>
                <w:sz w:val="24"/>
                <w:szCs w:val="24"/>
              </w:rPr>
            </w:pPr>
            <w:r w:rsidRPr="00656AD3">
              <w:rPr>
                <w:rFonts w:cs="Arial"/>
                <w:sz w:val="24"/>
                <w:szCs w:val="24"/>
              </w:rPr>
              <w:t>Assumed at low rate</w:t>
            </w:r>
          </w:p>
          <w:p w:rsidR="00692568" w:rsidRPr="00656AD3" w:rsidRDefault="00692568" w:rsidP="00964CAF">
            <w:pPr>
              <w:jc w:val="left"/>
              <w:rPr>
                <w:rFonts w:cs="Arial"/>
                <w:sz w:val="24"/>
                <w:szCs w:val="24"/>
              </w:rPr>
            </w:pPr>
            <w:r w:rsidRPr="00656AD3">
              <w:rPr>
                <w:rFonts w:cs="Arial"/>
                <w:sz w:val="24"/>
                <w:szCs w:val="24"/>
              </w:rPr>
              <w:t>1/2% sensitivity on £30m investment</w:t>
            </w:r>
          </w:p>
        </w:tc>
        <w:tc>
          <w:tcPr>
            <w:tcW w:w="1215" w:type="dxa"/>
            <w:shd w:val="clear" w:color="auto" w:fill="auto"/>
          </w:tcPr>
          <w:p w:rsidR="00692568" w:rsidRPr="00656AD3" w:rsidRDefault="00692568" w:rsidP="00964CAF">
            <w:pPr>
              <w:rPr>
                <w:rFonts w:cs="Arial"/>
                <w:sz w:val="24"/>
                <w:szCs w:val="24"/>
              </w:rPr>
            </w:pPr>
            <w:r w:rsidRPr="00656AD3">
              <w:rPr>
                <w:rFonts w:cs="Arial"/>
                <w:sz w:val="24"/>
                <w:szCs w:val="24"/>
              </w:rPr>
              <w:t>1</w:t>
            </w:r>
          </w:p>
        </w:tc>
        <w:tc>
          <w:tcPr>
            <w:tcW w:w="911" w:type="dxa"/>
            <w:shd w:val="clear" w:color="auto" w:fill="auto"/>
          </w:tcPr>
          <w:p w:rsidR="00692568" w:rsidRPr="00656AD3" w:rsidRDefault="00692568" w:rsidP="00964CAF">
            <w:pPr>
              <w:rPr>
                <w:rFonts w:cs="Arial"/>
                <w:sz w:val="24"/>
                <w:szCs w:val="24"/>
              </w:rPr>
            </w:pPr>
            <w:r w:rsidRPr="00656AD3">
              <w:rPr>
                <w:rFonts w:cs="Arial"/>
                <w:sz w:val="24"/>
                <w:szCs w:val="24"/>
              </w:rPr>
              <w:t>1</w:t>
            </w:r>
          </w:p>
        </w:tc>
        <w:tc>
          <w:tcPr>
            <w:tcW w:w="1134" w:type="dxa"/>
            <w:shd w:val="clear" w:color="auto" w:fill="auto"/>
          </w:tcPr>
          <w:p w:rsidR="00692568" w:rsidRPr="00656AD3" w:rsidRDefault="00692568" w:rsidP="00964CAF">
            <w:pPr>
              <w:rPr>
                <w:rFonts w:cs="Arial"/>
                <w:sz w:val="24"/>
                <w:szCs w:val="24"/>
              </w:rPr>
            </w:pPr>
            <w:r>
              <w:rPr>
                <w:rFonts w:cs="Arial"/>
                <w:sz w:val="24"/>
                <w:szCs w:val="24"/>
              </w:rPr>
              <w:t>Medium</w:t>
            </w:r>
          </w:p>
        </w:tc>
        <w:tc>
          <w:tcPr>
            <w:tcW w:w="1468" w:type="dxa"/>
            <w:shd w:val="clear" w:color="auto" w:fill="auto"/>
          </w:tcPr>
          <w:p w:rsidR="00692568" w:rsidRPr="00656AD3" w:rsidRDefault="00692568" w:rsidP="00964CAF">
            <w:pPr>
              <w:rPr>
                <w:rFonts w:cs="Arial"/>
                <w:sz w:val="24"/>
                <w:szCs w:val="24"/>
              </w:rPr>
            </w:pPr>
            <w:r w:rsidRPr="00656AD3">
              <w:rPr>
                <w:rFonts w:cs="Arial"/>
                <w:sz w:val="24"/>
                <w:szCs w:val="24"/>
              </w:rPr>
              <w:t>150,000</w:t>
            </w:r>
          </w:p>
        </w:tc>
      </w:tr>
      <w:tr w:rsidR="00692568" w:rsidRPr="00656AD3" w:rsidTr="00964CAF">
        <w:tc>
          <w:tcPr>
            <w:tcW w:w="1951" w:type="dxa"/>
            <w:shd w:val="clear" w:color="auto" w:fill="auto"/>
          </w:tcPr>
          <w:p w:rsidR="00692568" w:rsidRPr="00656AD3" w:rsidRDefault="00692568" w:rsidP="00964CAF">
            <w:pPr>
              <w:jc w:val="left"/>
              <w:rPr>
                <w:rFonts w:cs="Arial"/>
                <w:sz w:val="24"/>
                <w:szCs w:val="24"/>
              </w:rPr>
            </w:pPr>
            <w:r w:rsidRPr="00656AD3">
              <w:rPr>
                <w:rFonts w:cs="Arial"/>
                <w:sz w:val="24"/>
                <w:szCs w:val="24"/>
              </w:rPr>
              <w:t>Income from fees and charges are lower than assumed.</w:t>
            </w:r>
          </w:p>
          <w:p w:rsidR="00692568" w:rsidRPr="00656AD3" w:rsidRDefault="00692568" w:rsidP="00964CAF">
            <w:pPr>
              <w:jc w:val="left"/>
              <w:rPr>
                <w:rFonts w:cs="Arial"/>
                <w:sz w:val="24"/>
                <w:szCs w:val="24"/>
              </w:rPr>
            </w:pPr>
          </w:p>
        </w:tc>
        <w:tc>
          <w:tcPr>
            <w:tcW w:w="1843" w:type="dxa"/>
            <w:shd w:val="clear" w:color="auto" w:fill="auto"/>
          </w:tcPr>
          <w:p w:rsidR="00692568" w:rsidRPr="00656AD3" w:rsidRDefault="00692568" w:rsidP="00964CAF">
            <w:pPr>
              <w:jc w:val="left"/>
              <w:rPr>
                <w:rFonts w:cs="Arial"/>
                <w:sz w:val="24"/>
                <w:szCs w:val="24"/>
              </w:rPr>
            </w:pPr>
            <w:r w:rsidRPr="00656AD3">
              <w:rPr>
                <w:rFonts w:cs="Arial"/>
                <w:sz w:val="24"/>
                <w:szCs w:val="24"/>
              </w:rPr>
              <w:t xml:space="preserve">1% of total fees and charges income in the budget </w:t>
            </w:r>
          </w:p>
        </w:tc>
        <w:tc>
          <w:tcPr>
            <w:tcW w:w="1215" w:type="dxa"/>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911" w:type="dxa"/>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1134" w:type="dxa"/>
            <w:shd w:val="clear" w:color="auto" w:fill="auto"/>
          </w:tcPr>
          <w:p w:rsidR="00692568" w:rsidRPr="00656AD3" w:rsidRDefault="00692568" w:rsidP="00964CAF">
            <w:pPr>
              <w:rPr>
                <w:rFonts w:cs="Arial"/>
                <w:sz w:val="24"/>
                <w:szCs w:val="24"/>
              </w:rPr>
            </w:pPr>
            <w:r w:rsidRPr="00656AD3">
              <w:rPr>
                <w:rFonts w:cs="Arial"/>
                <w:sz w:val="24"/>
                <w:szCs w:val="24"/>
              </w:rPr>
              <w:t>Medium</w:t>
            </w:r>
          </w:p>
        </w:tc>
        <w:tc>
          <w:tcPr>
            <w:tcW w:w="1468" w:type="dxa"/>
            <w:shd w:val="clear" w:color="auto" w:fill="auto"/>
          </w:tcPr>
          <w:p w:rsidR="00692568" w:rsidRPr="00656AD3" w:rsidRDefault="00692568" w:rsidP="00964CAF">
            <w:pPr>
              <w:rPr>
                <w:rFonts w:cs="Arial"/>
                <w:sz w:val="24"/>
                <w:szCs w:val="24"/>
              </w:rPr>
            </w:pPr>
            <w:r w:rsidRPr="00656AD3">
              <w:rPr>
                <w:rFonts w:cs="Arial"/>
                <w:sz w:val="24"/>
                <w:szCs w:val="24"/>
              </w:rPr>
              <w:t>150,000</w:t>
            </w:r>
          </w:p>
        </w:tc>
      </w:tr>
      <w:tr w:rsidR="00692568" w:rsidRPr="00656AD3" w:rsidTr="00964CAF">
        <w:tc>
          <w:tcPr>
            <w:tcW w:w="1951" w:type="dxa"/>
            <w:shd w:val="clear" w:color="auto" w:fill="auto"/>
          </w:tcPr>
          <w:p w:rsidR="00692568" w:rsidRPr="00656AD3" w:rsidRDefault="00692568" w:rsidP="00964CAF">
            <w:pPr>
              <w:jc w:val="left"/>
              <w:rPr>
                <w:rFonts w:cs="Arial"/>
                <w:sz w:val="24"/>
                <w:szCs w:val="24"/>
              </w:rPr>
            </w:pPr>
            <w:r w:rsidRPr="00656AD3">
              <w:rPr>
                <w:rFonts w:cs="Arial"/>
                <w:sz w:val="24"/>
                <w:szCs w:val="24"/>
              </w:rPr>
              <w:t>Operational / service needs require unplanned financial resources</w:t>
            </w:r>
          </w:p>
        </w:tc>
        <w:tc>
          <w:tcPr>
            <w:tcW w:w="1843" w:type="dxa"/>
            <w:shd w:val="clear" w:color="auto" w:fill="auto"/>
          </w:tcPr>
          <w:p w:rsidR="00692568" w:rsidRPr="00656AD3" w:rsidRDefault="00692568" w:rsidP="00964CAF">
            <w:pPr>
              <w:jc w:val="left"/>
              <w:rPr>
                <w:rFonts w:cs="Arial"/>
                <w:sz w:val="24"/>
                <w:szCs w:val="24"/>
              </w:rPr>
            </w:pPr>
            <w:r w:rsidRPr="00656AD3">
              <w:rPr>
                <w:rFonts w:cs="Arial"/>
                <w:sz w:val="24"/>
                <w:szCs w:val="24"/>
              </w:rPr>
              <w:t>Contingency based on 2 significant events at £500,000 each</w:t>
            </w:r>
          </w:p>
        </w:tc>
        <w:tc>
          <w:tcPr>
            <w:tcW w:w="1215" w:type="dxa"/>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911" w:type="dxa"/>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1134" w:type="dxa"/>
            <w:shd w:val="clear" w:color="auto" w:fill="auto"/>
          </w:tcPr>
          <w:p w:rsidR="00692568" w:rsidRPr="00656AD3" w:rsidRDefault="00692568" w:rsidP="00964CAF">
            <w:pPr>
              <w:rPr>
                <w:rFonts w:cs="Arial"/>
                <w:sz w:val="24"/>
                <w:szCs w:val="24"/>
              </w:rPr>
            </w:pPr>
            <w:r w:rsidRPr="00656AD3">
              <w:rPr>
                <w:rFonts w:cs="Arial"/>
                <w:sz w:val="24"/>
                <w:szCs w:val="24"/>
              </w:rPr>
              <w:t>Medium</w:t>
            </w:r>
          </w:p>
        </w:tc>
        <w:tc>
          <w:tcPr>
            <w:tcW w:w="1468" w:type="dxa"/>
            <w:shd w:val="clear" w:color="auto" w:fill="auto"/>
          </w:tcPr>
          <w:p w:rsidR="00692568" w:rsidRPr="00656AD3" w:rsidRDefault="00692568" w:rsidP="00964CAF">
            <w:pPr>
              <w:rPr>
                <w:rFonts w:cs="Arial"/>
                <w:sz w:val="24"/>
                <w:szCs w:val="24"/>
              </w:rPr>
            </w:pPr>
            <w:r w:rsidRPr="00656AD3">
              <w:rPr>
                <w:rFonts w:cs="Arial"/>
                <w:sz w:val="24"/>
                <w:szCs w:val="24"/>
              </w:rPr>
              <w:t>1,000,000</w:t>
            </w:r>
          </w:p>
        </w:tc>
      </w:tr>
      <w:tr w:rsidR="00692568" w:rsidRPr="00656AD3" w:rsidTr="00964CAF">
        <w:tc>
          <w:tcPr>
            <w:tcW w:w="1951" w:type="dxa"/>
            <w:shd w:val="clear" w:color="auto" w:fill="auto"/>
          </w:tcPr>
          <w:p w:rsidR="00692568" w:rsidRPr="00656AD3" w:rsidRDefault="00692568" w:rsidP="00964CAF">
            <w:pPr>
              <w:jc w:val="left"/>
              <w:rPr>
                <w:rFonts w:cs="Arial"/>
                <w:sz w:val="24"/>
                <w:szCs w:val="24"/>
              </w:rPr>
            </w:pPr>
            <w:r w:rsidRPr="00656AD3">
              <w:rPr>
                <w:rFonts w:cs="Arial"/>
                <w:sz w:val="24"/>
                <w:szCs w:val="24"/>
              </w:rPr>
              <w:t>Additional resources required for capital programme: Reduced / delayed</w:t>
            </w:r>
          </w:p>
        </w:tc>
        <w:tc>
          <w:tcPr>
            <w:tcW w:w="1843" w:type="dxa"/>
            <w:shd w:val="clear" w:color="auto" w:fill="auto"/>
          </w:tcPr>
          <w:p w:rsidR="00692568" w:rsidRPr="00656AD3" w:rsidRDefault="00692568" w:rsidP="00964CAF">
            <w:pPr>
              <w:jc w:val="left"/>
              <w:rPr>
                <w:rFonts w:cs="Arial"/>
                <w:sz w:val="24"/>
                <w:szCs w:val="24"/>
              </w:rPr>
            </w:pPr>
            <w:r w:rsidRPr="00656AD3">
              <w:rPr>
                <w:rFonts w:cs="Arial"/>
                <w:sz w:val="24"/>
                <w:szCs w:val="24"/>
              </w:rPr>
              <w:t xml:space="preserve">20% of  receipts required </w:t>
            </w:r>
          </w:p>
        </w:tc>
        <w:tc>
          <w:tcPr>
            <w:tcW w:w="1215" w:type="dxa"/>
            <w:shd w:val="clear" w:color="auto" w:fill="auto"/>
          </w:tcPr>
          <w:p w:rsidR="00692568" w:rsidRPr="00656AD3" w:rsidRDefault="00692568" w:rsidP="00964CAF">
            <w:pPr>
              <w:rPr>
                <w:rFonts w:cs="Arial"/>
                <w:sz w:val="24"/>
                <w:szCs w:val="24"/>
              </w:rPr>
            </w:pPr>
            <w:r w:rsidRPr="00656AD3">
              <w:rPr>
                <w:rFonts w:cs="Arial"/>
                <w:sz w:val="24"/>
                <w:szCs w:val="24"/>
              </w:rPr>
              <w:t>3</w:t>
            </w:r>
          </w:p>
        </w:tc>
        <w:tc>
          <w:tcPr>
            <w:tcW w:w="911" w:type="dxa"/>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1134" w:type="dxa"/>
            <w:shd w:val="clear" w:color="auto" w:fill="auto"/>
          </w:tcPr>
          <w:p w:rsidR="00692568" w:rsidRPr="00656AD3" w:rsidRDefault="00692568" w:rsidP="00964CAF">
            <w:pPr>
              <w:rPr>
                <w:rFonts w:cs="Arial"/>
                <w:sz w:val="24"/>
                <w:szCs w:val="24"/>
              </w:rPr>
            </w:pPr>
            <w:r w:rsidRPr="00656AD3">
              <w:rPr>
                <w:rFonts w:cs="Arial"/>
                <w:sz w:val="24"/>
                <w:szCs w:val="24"/>
              </w:rPr>
              <w:t>High</w:t>
            </w:r>
          </w:p>
        </w:tc>
        <w:tc>
          <w:tcPr>
            <w:tcW w:w="1468" w:type="dxa"/>
            <w:shd w:val="clear" w:color="auto" w:fill="auto"/>
          </w:tcPr>
          <w:p w:rsidR="00692568" w:rsidRPr="00656AD3" w:rsidRDefault="00692568" w:rsidP="00964CAF">
            <w:pPr>
              <w:rPr>
                <w:rFonts w:cs="Arial"/>
                <w:sz w:val="24"/>
                <w:szCs w:val="24"/>
              </w:rPr>
            </w:pPr>
            <w:r w:rsidRPr="00656AD3">
              <w:rPr>
                <w:rFonts w:cs="Arial"/>
                <w:sz w:val="24"/>
                <w:szCs w:val="24"/>
              </w:rPr>
              <w:t>300,000</w:t>
            </w:r>
          </w:p>
        </w:tc>
      </w:tr>
      <w:tr w:rsidR="00692568" w:rsidRPr="00656AD3" w:rsidTr="00964CAF">
        <w:tc>
          <w:tcPr>
            <w:tcW w:w="1951"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BE1A35">
            <w:pPr>
              <w:jc w:val="left"/>
              <w:rPr>
                <w:rFonts w:cs="Arial"/>
                <w:sz w:val="24"/>
                <w:szCs w:val="24"/>
              </w:rPr>
            </w:pPr>
            <w:r>
              <w:rPr>
                <w:rFonts w:cs="Arial"/>
                <w:sz w:val="24"/>
                <w:szCs w:val="24"/>
              </w:rPr>
              <w:t>202</w:t>
            </w:r>
            <w:r w:rsidR="00BE1A35">
              <w:rPr>
                <w:rFonts w:cs="Arial"/>
                <w:sz w:val="24"/>
                <w:szCs w:val="24"/>
              </w:rPr>
              <w:t>2/23</w:t>
            </w:r>
            <w:r>
              <w:rPr>
                <w:rFonts w:cs="Arial"/>
                <w:sz w:val="24"/>
                <w:szCs w:val="24"/>
              </w:rPr>
              <w:t xml:space="preserve"> s</w:t>
            </w:r>
            <w:r w:rsidRPr="00656AD3">
              <w:rPr>
                <w:rFonts w:cs="Arial"/>
                <w:sz w:val="24"/>
                <w:szCs w:val="24"/>
              </w:rPr>
              <w:t>avings identified that the Council is unable to  implement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jc w:val="left"/>
              <w:rPr>
                <w:rFonts w:cs="Arial"/>
                <w:sz w:val="24"/>
                <w:szCs w:val="24"/>
              </w:rPr>
            </w:pPr>
            <w:r w:rsidRPr="00656AD3">
              <w:rPr>
                <w:rFonts w:cs="Arial"/>
                <w:sz w:val="24"/>
                <w:szCs w:val="24"/>
              </w:rPr>
              <w:t xml:space="preserve">In line with transformation savings, </w:t>
            </w:r>
          </w:p>
          <w:p w:rsidR="00692568" w:rsidRPr="00656AD3" w:rsidRDefault="00692568" w:rsidP="00964CAF">
            <w:pPr>
              <w:jc w:val="left"/>
              <w:rPr>
                <w:rFonts w:cs="Arial"/>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r w:rsidRPr="00656AD3">
              <w:rPr>
                <w:rFonts w:cs="Arial"/>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r w:rsidRPr="00656AD3">
              <w:rPr>
                <w:rFonts w:cs="Arial"/>
                <w:sz w:val="24"/>
                <w:szCs w:val="24"/>
              </w:rPr>
              <w:t>Medium</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r w:rsidRPr="00656AD3">
              <w:rPr>
                <w:rFonts w:cs="Arial"/>
                <w:sz w:val="24"/>
                <w:szCs w:val="24"/>
              </w:rPr>
              <w:t>500,000</w:t>
            </w:r>
          </w:p>
        </w:tc>
      </w:tr>
      <w:tr w:rsidR="00692568" w:rsidRPr="00656AD3" w:rsidTr="00964CAF">
        <w:tc>
          <w:tcPr>
            <w:tcW w:w="1951"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r w:rsidRPr="00656AD3">
              <w:rPr>
                <w:rFonts w:cs="Arial"/>
                <w:sz w:val="24"/>
                <w:szCs w:val="24"/>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92568" w:rsidRPr="00656AD3" w:rsidRDefault="00692568" w:rsidP="00964CAF">
            <w:pPr>
              <w:rPr>
                <w:rFonts w:cs="Arial"/>
                <w:sz w:val="24"/>
                <w:szCs w:val="24"/>
              </w:rPr>
            </w:pPr>
            <w:r w:rsidRPr="00656AD3">
              <w:rPr>
                <w:rFonts w:cs="Arial"/>
                <w:sz w:val="24"/>
                <w:szCs w:val="24"/>
              </w:rPr>
              <w:t>2,100,000</w:t>
            </w:r>
          </w:p>
        </w:tc>
      </w:tr>
    </w:tbl>
    <w:p w:rsidR="00C54396" w:rsidRDefault="00C54396" w:rsidP="00CB4506">
      <w:pPr>
        <w:rPr>
          <w:rFonts w:cs="Arial"/>
          <w:sz w:val="2"/>
          <w:szCs w:val="2"/>
        </w:rPr>
      </w:pPr>
    </w:p>
    <w:p w:rsidR="00C54396" w:rsidRDefault="00C54396">
      <w:pPr>
        <w:jc w:val="left"/>
        <w:rPr>
          <w:rFonts w:cs="Arial"/>
          <w:sz w:val="2"/>
          <w:szCs w:val="2"/>
        </w:rPr>
      </w:pPr>
      <w:r>
        <w:rPr>
          <w:rFonts w:cs="Arial"/>
          <w:sz w:val="2"/>
          <w:szCs w:val="2"/>
        </w:rPr>
        <w:br w:type="page"/>
      </w:r>
    </w:p>
    <w:p w:rsidR="00C54396" w:rsidRDefault="00C54396" w:rsidP="00C54396">
      <w:pPr>
        <w:rPr>
          <w:b/>
          <w:sz w:val="32"/>
          <w:szCs w:val="32"/>
        </w:rPr>
      </w:pPr>
      <w:r w:rsidRPr="00317DCD">
        <w:rPr>
          <w:b/>
          <w:sz w:val="32"/>
          <w:szCs w:val="32"/>
        </w:rPr>
        <w:t>Appendix 7</w:t>
      </w:r>
    </w:p>
    <w:p w:rsidR="00C54396" w:rsidRDefault="00C54396" w:rsidP="00C54396">
      <w:pPr>
        <w:rPr>
          <w:b/>
          <w:sz w:val="32"/>
          <w:szCs w:val="32"/>
        </w:rPr>
      </w:pPr>
    </w:p>
    <w:tbl>
      <w:tblPr>
        <w:tblW w:w="0" w:type="auto"/>
        <w:tblLook w:val="01E0" w:firstRow="1" w:lastRow="1" w:firstColumn="1" w:lastColumn="1" w:noHBand="0" w:noVBand="0"/>
      </w:tblPr>
      <w:tblGrid>
        <w:gridCol w:w="9012"/>
        <w:gridCol w:w="14"/>
      </w:tblGrid>
      <w:tr w:rsidR="00C54396" w:rsidRPr="003506D3" w:rsidTr="00E73892">
        <w:trPr>
          <w:gridAfter w:val="1"/>
          <w:wAfter w:w="14" w:type="dxa"/>
          <w:trHeight w:val="1674"/>
        </w:trPr>
        <w:tc>
          <w:tcPr>
            <w:tcW w:w="9228" w:type="dxa"/>
            <w:shd w:val="clear" w:color="auto" w:fill="auto"/>
          </w:tcPr>
          <w:p w:rsidR="00C54396" w:rsidRPr="003506D3" w:rsidRDefault="00C54396" w:rsidP="00E73892">
            <w:pPr>
              <w:jc w:val="center"/>
              <w:rPr>
                <w:rFonts w:ascii="Arial Black" w:hAnsi="Arial Black"/>
                <w:sz w:val="24"/>
                <w:szCs w:val="24"/>
              </w:rPr>
            </w:pPr>
            <w:r w:rsidRPr="003506D3">
              <w:rPr>
                <w:rFonts w:ascii="Arial Black" w:hAnsi="Arial Black"/>
                <w:sz w:val="24"/>
                <w:szCs w:val="24"/>
              </w:rPr>
              <w:t>R</w:t>
            </w:r>
            <w:r>
              <w:rPr>
                <w:rFonts w:ascii="Arial Black" w:hAnsi="Arial Black"/>
                <w:sz w:val="24"/>
                <w:szCs w:val="24"/>
              </w:rPr>
              <w:t>eport of Overview and Scrutiny Committee (Corporate Resources)</w:t>
            </w:r>
          </w:p>
          <w:p w:rsidR="00C54396" w:rsidRPr="003506D3" w:rsidRDefault="00C54396" w:rsidP="00E73892">
            <w:pPr>
              <w:jc w:val="center"/>
              <w:rPr>
                <w:rFonts w:ascii="Arial Black" w:hAnsi="Arial Black"/>
                <w:sz w:val="24"/>
                <w:szCs w:val="24"/>
              </w:rPr>
            </w:pPr>
            <w:r w:rsidRPr="003506D3">
              <w:rPr>
                <w:rFonts w:ascii="Arial Black" w:hAnsi="Arial Black"/>
                <w:sz w:val="24"/>
                <w:szCs w:val="24"/>
              </w:rPr>
              <w:t>To</w:t>
            </w:r>
          </w:p>
          <w:p w:rsidR="00C54396" w:rsidRPr="003506D3" w:rsidRDefault="00C54396" w:rsidP="00E73892">
            <w:pPr>
              <w:jc w:val="center"/>
              <w:rPr>
                <w:rFonts w:ascii="Arial Black" w:hAnsi="Arial Black"/>
                <w:sz w:val="24"/>
                <w:szCs w:val="24"/>
              </w:rPr>
            </w:pPr>
            <w:r w:rsidRPr="003506D3">
              <w:rPr>
                <w:rFonts w:ascii="Arial Black" w:hAnsi="Arial Black"/>
                <w:sz w:val="24"/>
                <w:szCs w:val="24"/>
              </w:rPr>
              <w:t>Cabinet</w:t>
            </w:r>
          </w:p>
          <w:p w:rsidR="00C54396" w:rsidRPr="003506D3" w:rsidRDefault="00C54396" w:rsidP="00E73892">
            <w:pPr>
              <w:jc w:val="center"/>
              <w:rPr>
                <w:rFonts w:ascii="Arial Black" w:hAnsi="Arial Black"/>
                <w:sz w:val="24"/>
                <w:szCs w:val="24"/>
              </w:rPr>
            </w:pPr>
            <w:r w:rsidRPr="003506D3">
              <w:rPr>
                <w:rFonts w:ascii="Arial Black" w:hAnsi="Arial Black" w:cs="Arial"/>
                <w:sz w:val="24"/>
                <w:szCs w:val="24"/>
              </w:rPr>
              <w:t>On</w:t>
            </w:r>
          </w:p>
          <w:p w:rsidR="00C54396" w:rsidRPr="003506D3" w:rsidRDefault="00C54396" w:rsidP="00E73892">
            <w:pPr>
              <w:jc w:val="center"/>
              <w:rPr>
                <w:rFonts w:ascii="Arial Black" w:hAnsi="Arial Black"/>
                <w:sz w:val="24"/>
                <w:szCs w:val="24"/>
              </w:rPr>
            </w:pPr>
            <w:r>
              <w:rPr>
                <w:rFonts w:ascii="Arial Black" w:hAnsi="Arial Black"/>
                <w:sz w:val="24"/>
                <w:szCs w:val="24"/>
              </w:rPr>
              <w:t xml:space="preserve">12 </w:t>
            </w:r>
            <w:r w:rsidRPr="003506D3">
              <w:rPr>
                <w:rFonts w:ascii="Arial Black" w:hAnsi="Arial Black"/>
                <w:sz w:val="24"/>
                <w:szCs w:val="24"/>
              </w:rPr>
              <w:t xml:space="preserve">December </w:t>
            </w:r>
            <w:r>
              <w:rPr>
                <w:rFonts w:ascii="Arial Black" w:hAnsi="Arial Black"/>
                <w:sz w:val="24"/>
                <w:szCs w:val="24"/>
              </w:rPr>
              <w:t>2022</w:t>
            </w:r>
          </w:p>
        </w:tc>
      </w:tr>
      <w:tr w:rsidR="00C54396" w:rsidRPr="003506D3" w:rsidTr="00E73892">
        <w:trPr>
          <w:gridAfter w:val="1"/>
          <w:wAfter w:w="14" w:type="dxa"/>
        </w:trPr>
        <w:tc>
          <w:tcPr>
            <w:tcW w:w="9228" w:type="dxa"/>
            <w:shd w:val="clear" w:color="auto" w:fill="auto"/>
          </w:tcPr>
          <w:p w:rsidR="00C54396" w:rsidRPr="003506D3" w:rsidRDefault="00C54396" w:rsidP="00E73892">
            <w:pPr>
              <w:jc w:val="center"/>
              <w:rPr>
                <w:rFonts w:ascii="Arial Black" w:hAnsi="Arial Black"/>
                <w:sz w:val="24"/>
                <w:szCs w:val="24"/>
              </w:rPr>
            </w:pPr>
          </w:p>
        </w:tc>
      </w:tr>
      <w:tr w:rsidR="00C54396" w:rsidRPr="003506D3" w:rsidTr="00E73892">
        <w:tc>
          <w:tcPr>
            <w:tcW w:w="9242" w:type="dxa"/>
            <w:gridSpan w:val="2"/>
            <w:tcBorders>
              <w:top w:val="single" w:sz="24" w:space="0" w:color="auto"/>
              <w:bottom w:val="single" w:sz="24" w:space="0" w:color="auto"/>
            </w:tcBorders>
            <w:shd w:val="clear" w:color="auto" w:fill="auto"/>
          </w:tcPr>
          <w:p w:rsidR="00C54396" w:rsidRPr="003506D3" w:rsidRDefault="00C54396" w:rsidP="00E73892">
            <w:pPr>
              <w:spacing w:before="240" w:after="240"/>
              <w:jc w:val="center"/>
              <w:rPr>
                <w:rFonts w:cs="Arial"/>
                <w:b/>
                <w:sz w:val="24"/>
                <w:szCs w:val="24"/>
              </w:rPr>
            </w:pPr>
            <w:r>
              <w:rPr>
                <w:rFonts w:cs="Arial"/>
                <w:b/>
                <w:sz w:val="24"/>
                <w:szCs w:val="24"/>
              </w:rPr>
              <w:t>MEDIUM TERM FINANCIAL STRATEGY 2023/24 to 2025/26</w:t>
            </w:r>
          </w:p>
        </w:tc>
      </w:tr>
    </w:tbl>
    <w:p w:rsidR="00C54396" w:rsidRPr="00531CC4" w:rsidRDefault="00C54396" w:rsidP="00C54396">
      <w:pPr>
        <w:rPr>
          <w:b/>
          <w:sz w:val="24"/>
          <w:szCs w:val="24"/>
        </w:rPr>
      </w:pPr>
    </w:p>
    <w:p w:rsidR="00C54396" w:rsidRDefault="00C54396" w:rsidP="00C54396">
      <w:pPr>
        <w:rPr>
          <w:b/>
          <w:sz w:val="24"/>
          <w:szCs w:val="24"/>
        </w:rPr>
      </w:pPr>
      <w:r w:rsidRPr="00531CC4">
        <w:rPr>
          <w:b/>
          <w:sz w:val="24"/>
          <w:szCs w:val="24"/>
        </w:rPr>
        <w:t>1.</w:t>
      </w:r>
      <w:r w:rsidRPr="00531CC4">
        <w:rPr>
          <w:b/>
          <w:sz w:val="24"/>
          <w:szCs w:val="24"/>
        </w:rPr>
        <w:tab/>
        <w:t>SUMMARY</w:t>
      </w:r>
    </w:p>
    <w:p w:rsidR="00C54396" w:rsidRDefault="00C54396" w:rsidP="00C54396">
      <w:pPr>
        <w:rPr>
          <w:b/>
          <w:sz w:val="24"/>
          <w:szCs w:val="24"/>
        </w:rPr>
      </w:pPr>
    </w:p>
    <w:p w:rsidR="00C54396" w:rsidRPr="00701931" w:rsidRDefault="00C54396" w:rsidP="00C54396">
      <w:pPr>
        <w:ind w:left="720"/>
        <w:rPr>
          <w:sz w:val="24"/>
          <w:szCs w:val="24"/>
        </w:rPr>
      </w:pPr>
      <w:r>
        <w:rPr>
          <w:sz w:val="24"/>
          <w:szCs w:val="24"/>
        </w:rPr>
        <w:t xml:space="preserve">To advise Cabinet of the conclusions and recommendations following the scrutiny of the Executive’s draft Medium Term Financial Strategy for 2023/24 to 2025/26 </w:t>
      </w:r>
    </w:p>
    <w:p w:rsidR="00C54396" w:rsidRPr="00701931" w:rsidRDefault="00C54396" w:rsidP="00C54396">
      <w:pPr>
        <w:rPr>
          <w:i/>
          <w:sz w:val="24"/>
          <w:szCs w:val="24"/>
        </w:rPr>
      </w:pPr>
    </w:p>
    <w:p w:rsidR="00C54396" w:rsidRDefault="00C54396" w:rsidP="00C54396">
      <w:pPr>
        <w:rPr>
          <w:b/>
          <w:sz w:val="24"/>
          <w:szCs w:val="24"/>
        </w:rPr>
      </w:pPr>
      <w:r>
        <w:rPr>
          <w:b/>
          <w:sz w:val="24"/>
          <w:szCs w:val="24"/>
        </w:rPr>
        <w:t>2</w:t>
      </w:r>
      <w:r w:rsidRPr="00531CC4">
        <w:rPr>
          <w:b/>
          <w:sz w:val="24"/>
          <w:szCs w:val="24"/>
        </w:rPr>
        <w:t>.</w:t>
      </w:r>
      <w:r w:rsidRPr="00531CC4">
        <w:rPr>
          <w:b/>
          <w:sz w:val="24"/>
          <w:szCs w:val="24"/>
        </w:rPr>
        <w:tab/>
        <w:t>BACKGROUND</w:t>
      </w:r>
    </w:p>
    <w:p w:rsidR="00C54396" w:rsidRDefault="00C54396" w:rsidP="00C54396">
      <w:pPr>
        <w:rPr>
          <w:b/>
          <w:sz w:val="24"/>
          <w:szCs w:val="24"/>
        </w:rPr>
      </w:pPr>
    </w:p>
    <w:p w:rsidR="00C54396" w:rsidRDefault="00C54396" w:rsidP="00C54396">
      <w:pPr>
        <w:tabs>
          <w:tab w:val="left" w:pos="720"/>
        </w:tabs>
        <w:ind w:left="720" w:hanging="720"/>
        <w:rPr>
          <w:sz w:val="24"/>
          <w:szCs w:val="24"/>
        </w:rPr>
      </w:pPr>
      <w:r>
        <w:rPr>
          <w:sz w:val="24"/>
          <w:szCs w:val="24"/>
        </w:rPr>
        <w:t>2.1</w:t>
      </w:r>
      <w:r>
        <w:rPr>
          <w:sz w:val="24"/>
          <w:szCs w:val="24"/>
        </w:rPr>
        <w:tab/>
        <w:t>The Cabinet approved draft proposals for the Council’s Medium Term Financial Strategy on 31 October 2022 and in accordance with the Council’s Constitution for developing the budget, these were referred to Overview and Scrutiny Committee (Corporate Resources) for scrutinising.</w:t>
      </w:r>
    </w:p>
    <w:p w:rsidR="00C54396" w:rsidRDefault="00C54396" w:rsidP="00C54396">
      <w:pPr>
        <w:tabs>
          <w:tab w:val="left" w:pos="720"/>
        </w:tabs>
        <w:ind w:left="720" w:hanging="720"/>
        <w:rPr>
          <w:sz w:val="24"/>
          <w:szCs w:val="24"/>
        </w:rPr>
      </w:pPr>
    </w:p>
    <w:p w:rsidR="00C54396" w:rsidRPr="007D77A4" w:rsidRDefault="00C54396" w:rsidP="00C54396">
      <w:pPr>
        <w:tabs>
          <w:tab w:val="left" w:pos="720"/>
        </w:tabs>
        <w:ind w:left="720" w:hanging="720"/>
        <w:rPr>
          <w:sz w:val="24"/>
          <w:szCs w:val="24"/>
        </w:rPr>
      </w:pPr>
      <w:r>
        <w:rPr>
          <w:sz w:val="24"/>
          <w:szCs w:val="24"/>
        </w:rPr>
        <w:t>2.2</w:t>
      </w:r>
      <w:r>
        <w:rPr>
          <w:sz w:val="24"/>
          <w:szCs w:val="24"/>
        </w:rPr>
        <w:tab/>
        <w:t>Overview and Scrutiny Committee (Corporate Resources) held an initial meeting on 1 November 2022, to consider the draft proposals and at this meeting it was agreed to establish a working group to look at the Executive’s proposals. Conclusions from this Group were agreed at a further meeting of the Committee on 2 December 2022. Members were supported at these meetings by the Head of Finance and the Financial Services Manager.</w:t>
      </w:r>
    </w:p>
    <w:p w:rsidR="00C54396" w:rsidRDefault="00C54396" w:rsidP="00C54396">
      <w:pPr>
        <w:rPr>
          <w:sz w:val="24"/>
          <w:szCs w:val="24"/>
        </w:rPr>
      </w:pPr>
    </w:p>
    <w:p w:rsidR="00C54396" w:rsidRDefault="00C54396" w:rsidP="00C54396">
      <w:pPr>
        <w:rPr>
          <w:b/>
          <w:sz w:val="24"/>
          <w:szCs w:val="24"/>
        </w:rPr>
      </w:pPr>
      <w:r>
        <w:rPr>
          <w:sz w:val="24"/>
          <w:szCs w:val="24"/>
        </w:rPr>
        <w:t>2.3</w:t>
      </w:r>
      <w:r>
        <w:rPr>
          <w:sz w:val="24"/>
          <w:szCs w:val="24"/>
        </w:rPr>
        <w:tab/>
      </w:r>
      <w:r>
        <w:rPr>
          <w:b/>
          <w:sz w:val="24"/>
          <w:szCs w:val="24"/>
        </w:rPr>
        <w:t>General Fund and Housing Revenue Accounts revenue budgets</w:t>
      </w:r>
    </w:p>
    <w:p w:rsidR="00C54396" w:rsidRDefault="00C54396" w:rsidP="00C54396">
      <w:pPr>
        <w:rPr>
          <w:b/>
          <w:sz w:val="24"/>
          <w:szCs w:val="24"/>
        </w:rPr>
      </w:pPr>
    </w:p>
    <w:p w:rsidR="00C54396" w:rsidRDefault="00C54396" w:rsidP="00C54396">
      <w:pPr>
        <w:ind w:left="720" w:hanging="720"/>
        <w:rPr>
          <w:sz w:val="24"/>
          <w:szCs w:val="24"/>
        </w:rPr>
      </w:pPr>
      <w:r>
        <w:rPr>
          <w:sz w:val="24"/>
          <w:szCs w:val="24"/>
        </w:rPr>
        <w:t>2.4</w:t>
      </w:r>
      <w:r>
        <w:rPr>
          <w:sz w:val="24"/>
          <w:szCs w:val="24"/>
        </w:rPr>
        <w:tab/>
        <w:t>The Committee was reminded of the statutory requirement under the Local Government Act 2003 to have set a balanced budget by the start of a financial year and that the Local Government Finance Act required Billing Authorities such as the Council to have set the Council Tax by the 11 March before the start of the financial year.</w:t>
      </w:r>
    </w:p>
    <w:p w:rsidR="00C54396" w:rsidRDefault="00C54396" w:rsidP="00C54396">
      <w:pPr>
        <w:ind w:left="720"/>
        <w:rPr>
          <w:sz w:val="24"/>
          <w:szCs w:val="24"/>
        </w:rPr>
      </w:pPr>
    </w:p>
    <w:p w:rsidR="00C54396" w:rsidRDefault="00C54396" w:rsidP="00C54396">
      <w:pPr>
        <w:ind w:left="720" w:hanging="720"/>
        <w:rPr>
          <w:sz w:val="24"/>
          <w:szCs w:val="24"/>
        </w:rPr>
      </w:pPr>
      <w:r>
        <w:rPr>
          <w:sz w:val="24"/>
          <w:szCs w:val="24"/>
        </w:rPr>
        <w:t>2.5</w:t>
      </w:r>
      <w:r>
        <w:rPr>
          <w:sz w:val="24"/>
          <w:szCs w:val="24"/>
        </w:rPr>
        <w:tab/>
        <w:t xml:space="preserve">Details of the proposed General Fund budgets for 2023/24, 2024/25 and 2025/26, together with the budget deficits for each year were submitted for the Committee’s consideration. Members were advised of the assumptions used to develop the proposed budgets which included Government grants, business rates, Council Tax, fees and charges, New Homes Bonus, use and review of General Fund balances and earmarked reserves. </w:t>
      </w:r>
    </w:p>
    <w:p w:rsidR="00C54396" w:rsidRDefault="00C54396" w:rsidP="00C54396">
      <w:pPr>
        <w:ind w:left="720" w:hanging="720"/>
        <w:rPr>
          <w:sz w:val="24"/>
          <w:szCs w:val="24"/>
        </w:rPr>
      </w:pPr>
    </w:p>
    <w:p w:rsidR="00C54396" w:rsidRDefault="00C54396" w:rsidP="00C54396">
      <w:pPr>
        <w:ind w:left="720" w:hanging="720"/>
        <w:rPr>
          <w:sz w:val="24"/>
          <w:szCs w:val="24"/>
        </w:rPr>
      </w:pPr>
      <w:r>
        <w:rPr>
          <w:sz w:val="24"/>
          <w:szCs w:val="24"/>
        </w:rPr>
        <w:t>2.6</w:t>
      </w:r>
      <w:r>
        <w:rPr>
          <w:sz w:val="24"/>
          <w:szCs w:val="24"/>
        </w:rPr>
        <w:tab/>
        <w:t xml:space="preserve">The Committee was advised that the rate of inflation had been factored into the budget proposals. In particular, the Committee was advised of the impact of increases in utility and petrol prices and employee salary costs.  </w:t>
      </w:r>
    </w:p>
    <w:p w:rsidR="00C54396" w:rsidRDefault="00C54396" w:rsidP="00C54396">
      <w:pPr>
        <w:ind w:left="720" w:hanging="720"/>
        <w:rPr>
          <w:sz w:val="24"/>
          <w:szCs w:val="24"/>
        </w:rPr>
      </w:pPr>
    </w:p>
    <w:p w:rsidR="00C54396" w:rsidRDefault="00C54396" w:rsidP="00C54396">
      <w:pPr>
        <w:ind w:left="720" w:hanging="720"/>
        <w:rPr>
          <w:sz w:val="24"/>
          <w:szCs w:val="24"/>
        </w:rPr>
      </w:pPr>
      <w:r>
        <w:rPr>
          <w:sz w:val="24"/>
          <w:szCs w:val="24"/>
        </w:rPr>
        <w:t>2.6</w:t>
      </w:r>
      <w:r>
        <w:rPr>
          <w:sz w:val="24"/>
          <w:szCs w:val="24"/>
        </w:rPr>
        <w:tab/>
        <w:t>Members were presented with details of savings proposals and reviews that were required to deliver a balanced 2023/24 General Fund budget.</w:t>
      </w:r>
    </w:p>
    <w:p w:rsidR="00C54396" w:rsidRDefault="00C54396" w:rsidP="00C54396">
      <w:pPr>
        <w:rPr>
          <w:sz w:val="24"/>
          <w:szCs w:val="24"/>
        </w:rPr>
      </w:pPr>
    </w:p>
    <w:p w:rsidR="00C54396" w:rsidRDefault="00C54396" w:rsidP="00C54396">
      <w:pPr>
        <w:ind w:left="720" w:hanging="720"/>
        <w:rPr>
          <w:sz w:val="24"/>
          <w:szCs w:val="24"/>
        </w:rPr>
      </w:pPr>
      <w:r>
        <w:rPr>
          <w:sz w:val="24"/>
          <w:szCs w:val="24"/>
        </w:rPr>
        <w:t>2.7</w:t>
      </w:r>
      <w:r>
        <w:rPr>
          <w:sz w:val="24"/>
          <w:szCs w:val="24"/>
        </w:rPr>
        <w:tab/>
        <w:t xml:space="preserve">The Committee was supportive of the saving proposals with the exception of the proposed reduction of the Parks Team by two FTE’s. Members were advised that a </w:t>
      </w:r>
      <w:r w:rsidRPr="00825BFA">
        <w:rPr>
          <w:sz w:val="24"/>
          <w:szCs w:val="24"/>
        </w:rPr>
        <w:t xml:space="preserve">report by APSE in January 2022 </w:t>
      </w:r>
      <w:r>
        <w:rPr>
          <w:sz w:val="24"/>
          <w:szCs w:val="24"/>
        </w:rPr>
        <w:t>identified that the Parks team wa</w:t>
      </w:r>
      <w:r w:rsidRPr="00825BFA">
        <w:rPr>
          <w:sz w:val="24"/>
          <w:szCs w:val="24"/>
        </w:rPr>
        <w:t>s well resourced when benchmarked agains</w:t>
      </w:r>
      <w:r>
        <w:rPr>
          <w:sz w:val="24"/>
          <w:szCs w:val="24"/>
        </w:rPr>
        <w:t>t other local authorities in the Council’s</w:t>
      </w:r>
      <w:r w:rsidRPr="00825BFA">
        <w:rPr>
          <w:sz w:val="24"/>
          <w:szCs w:val="24"/>
        </w:rPr>
        <w:t xml:space="preserve"> benchmarking group.</w:t>
      </w:r>
      <w:r>
        <w:rPr>
          <w:sz w:val="24"/>
          <w:szCs w:val="24"/>
        </w:rPr>
        <w:t xml:space="preserve"> The Committee was still of the opinion that these posts be removed from the list of proposed savings and that an additional £53,789 be sought from voluntary redundancies.</w:t>
      </w:r>
    </w:p>
    <w:p w:rsidR="00C54396" w:rsidRDefault="00C54396" w:rsidP="00C54396">
      <w:pPr>
        <w:ind w:left="720" w:hanging="720"/>
        <w:rPr>
          <w:sz w:val="24"/>
          <w:szCs w:val="24"/>
        </w:rPr>
      </w:pPr>
    </w:p>
    <w:p w:rsidR="00C54396" w:rsidRDefault="00C54396" w:rsidP="00C54396">
      <w:pPr>
        <w:ind w:left="720" w:hanging="720"/>
        <w:rPr>
          <w:sz w:val="24"/>
          <w:szCs w:val="24"/>
        </w:rPr>
      </w:pPr>
      <w:r>
        <w:rPr>
          <w:sz w:val="24"/>
          <w:szCs w:val="24"/>
        </w:rPr>
        <w:t>2.8</w:t>
      </w:r>
      <w:r>
        <w:rPr>
          <w:sz w:val="24"/>
          <w:szCs w:val="24"/>
        </w:rPr>
        <w:tab/>
        <w:t xml:space="preserve">Members were supportive that the Executive’s draft budget did not include any proposal to increase the Council’s element of Council Tax, given the current cost of living crisis and the possibility of other </w:t>
      </w:r>
      <w:proofErr w:type="spellStart"/>
      <w:r>
        <w:rPr>
          <w:sz w:val="24"/>
          <w:szCs w:val="24"/>
        </w:rPr>
        <w:t>precepting</w:t>
      </w:r>
      <w:proofErr w:type="spellEnd"/>
      <w:r>
        <w:rPr>
          <w:sz w:val="24"/>
          <w:szCs w:val="24"/>
        </w:rPr>
        <w:t xml:space="preserve"> bodies raising their element of the tax.</w:t>
      </w:r>
    </w:p>
    <w:p w:rsidR="00C54396" w:rsidRDefault="00C54396" w:rsidP="00C54396">
      <w:pPr>
        <w:rPr>
          <w:sz w:val="24"/>
          <w:szCs w:val="24"/>
        </w:rPr>
      </w:pPr>
    </w:p>
    <w:p w:rsidR="00C54396" w:rsidRDefault="00C54396" w:rsidP="00C54396">
      <w:pPr>
        <w:ind w:left="720" w:hanging="720"/>
        <w:rPr>
          <w:sz w:val="24"/>
          <w:szCs w:val="24"/>
        </w:rPr>
      </w:pPr>
      <w:r>
        <w:rPr>
          <w:sz w:val="24"/>
          <w:szCs w:val="24"/>
        </w:rPr>
        <w:t>2.9</w:t>
      </w:r>
      <w:r>
        <w:rPr>
          <w:sz w:val="24"/>
          <w:szCs w:val="24"/>
        </w:rPr>
        <w:tab/>
        <w:t>The Committee was advised that a 2% increase had been used in the majority of services for setting fees and charges for 2023/24, for those charges which were set by the Council. Some charges had received higher increases to reflect market conditions and demand for the service.</w:t>
      </w:r>
    </w:p>
    <w:p w:rsidR="00C54396" w:rsidRDefault="00C54396" w:rsidP="00C54396">
      <w:pPr>
        <w:ind w:left="720" w:hanging="720"/>
        <w:rPr>
          <w:sz w:val="24"/>
          <w:szCs w:val="24"/>
        </w:rPr>
      </w:pPr>
    </w:p>
    <w:p w:rsidR="00C54396" w:rsidRDefault="00C54396" w:rsidP="00C54396">
      <w:pPr>
        <w:ind w:left="720" w:hanging="720"/>
        <w:rPr>
          <w:sz w:val="24"/>
          <w:szCs w:val="24"/>
        </w:rPr>
      </w:pPr>
      <w:r>
        <w:rPr>
          <w:sz w:val="24"/>
          <w:szCs w:val="24"/>
        </w:rPr>
        <w:t>2.10</w:t>
      </w:r>
      <w:r>
        <w:rPr>
          <w:sz w:val="24"/>
          <w:szCs w:val="24"/>
        </w:rPr>
        <w:tab/>
        <w:t xml:space="preserve">Member were mindful that the amount to be received in Government grant was still to be confirmed and would be known late December 2022, after the scrutiny process had been completed, which could impact on the budget proposals. </w:t>
      </w:r>
    </w:p>
    <w:p w:rsidR="00C54396" w:rsidRDefault="00C54396" w:rsidP="00C54396">
      <w:pPr>
        <w:rPr>
          <w:sz w:val="24"/>
          <w:szCs w:val="24"/>
        </w:rPr>
      </w:pPr>
    </w:p>
    <w:p w:rsidR="00C54396" w:rsidRDefault="00C54396" w:rsidP="00C54396">
      <w:pPr>
        <w:ind w:left="720" w:hanging="720"/>
        <w:rPr>
          <w:sz w:val="24"/>
          <w:szCs w:val="24"/>
        </w:rPr>
      </w:pPr>
      <w:r>
        <w:rPr>
          <w:sz w:val="24"/>
          <w:szCs w:val="24"/>
        </w:rPr>
        <w:t>2.11</w:t>
      </w:r>
      <w:r>
        <w:rPr>
          <w:sz w:val="24"/>
          <w:szCs w:val="24"/>
        </w:rPr>
        <w:tab/>
        <w:t xml:space="preserve">Following a Government consultation exercise on housing rents, it was anticipated that the Government would be recommending a 7% increase in social housing rents, and its impact on the Council’s HRA Business Plan was being assessed. </w:t>
      </w:r>
    </w:p>
    <w:p w:rsidR="00C54396" w:rsidRDefault="00C54396" w:rsidP="00C54396">
      <w:pPr>
        <w:ind w:left="720" w:hanging="720"/>
        <w:rPr>
          <w:sz w:val="24"/>
          <w:szCs w:val="24"/>
        </w:rPr>
      </w:pPr>
    </w:p>
    <w:p w:rsidR="00C54396" w:rsidRDefault="00C54396" w:rsidP="00C54396">
      <w:pPr>
        <w:ind w:left="720" w:hanging="720"/>
        <w:rPr>
          <w:b/>
          <w:sz w:val="24"/>
          <w:szCs w:val="24"/>
        </w:rPr>
      </w:pPr>
      <w:r>
        <w:rPr>
          <w:b/>
          <w:sz w:val="24"/>
          <w:szCs w:val="24"/>
        </w:rPr>
        <w:t>2.12</w:t>
      </w:r>
      <w:r>
        <w:rPr>
          <w:sz w:val="24"/>
          <w:szCs w:val="24"/>
        </w:rPr>
        <w:tab/>
      </w:r>
      <w:r>
        <w:rPr>
          <w:b/>
          <w:sz w:val="24"/>
          <w:szCs w:val="24"/>
        </w:rPr>
        <w:t xml:space="preserve">Consolidated Capital Programme Report </w:t>
      </w:r>
    </w:p>
    <w:p w:rsidR="00C54396" w:rsidRDefault="00C54396" w:rsidP="00C54396">
      <w:pPr>
        <w:ind w:left="720" w:hanging="720"/>
        <w:rPr>
          <w:b/>
          <w:sz w:val="24"/>
          <w:szCs w:val="24"/>
        </w:rPr>
      </w:pPr>
    </w:p>
    <w:p w:rsidR="00C54396" w:rsidRDefault="00C54396" w:rsidP="00C54396">
      <w:pPr>
        <w:ind w:left="720" w:hanging="720"/>
        <w:rPr>
          <w:sz w:val="24"/>
          <w:szCs w:val="24"/>
        </w:rPr>
      </w:pPr>
      <w:r>
        <w:rPr>
          <w:sz w:val="24"/>
          <w:szCs w:val="24"/>
        </w:rPr>
        <w:t>2.13</w:t>
      </w:r>
      <w:r>
        <w:rPr>
          <w:sz w:val="24"/>
          <w:szCs w:val="24"/>
        </w:rPr>
        <w:tab/>
        <w:t>The proposed consolidated capital programmes were supported.</w:t>
      </w:r>
    </w:p>
    <w:p w:rsidR="00C54396" w:rsidRDefault="00C54396" w:rsidP="00C54396">
      <w:pPr>
        <w:ind w:left="720" w:hanging="720"/>
        <w:rPr>
          <w:sz w:val="24"/>
          <w:szCs w:val="24"/>
        </w:rPr>
      </w:pPr>
    </w:p>
    <w:p w:rsidR="00C54396" w:rsidRDefault="00C54396" w:rsidP="00C54396">
      <w:pPr>
        <w:ind w:left="720" w:hanging="720"/>
        <w:rPr>
          <w:sz w:val="24"/>
          <w:szCs w:val="24"/>
        </w:rPr>
      </w:pPr>
      <w:r>
        <w:rPr>
          <w:sz w:val="24"/>
          <w:szCs w:val="24"/>
        </w:rPr>
        <w:t>2.14</w:t>
      </w:r>
      <w:r w:rsidRPr="0033381F">
        <w:rPr>
          <w:sz w:val="24"/>
          <w:szCs w:val="24"/>
        </w:rPr>
        <w:t xml:space="preserve"> </w:t>
      </w:r>
      <w:r w:rsidRPr="0033381F">
        <w:rPr>
          <w:sz w:val="24"/>
          <w:szCs w:val="24"/>
        </w:rPr>
        <w:tab/>
        <w:t xml:space="preserve">Concerns were expressed by the Committee at the General Fund revenue implications in future years of the commitment to the </w:t>
      </w:r>
      <w:proofErr w:type="spellStart"/>
      <w:r w:rsidRPr="0033381F">
        <w:rPr>
          <w:sz w:val="24"/>
          <w:szCs w:val="24"/>
        </w:rPr>
        <w:t>Warsop</w:t>
      </w:r>
      <w:proofErr w:type="spellEnd"/>
      <w:r w:rsidRPr="0033381F">
        <w:rPr>
          <w:sz w:val="24"/>
          <w:szCs w:val="24"/>
        </w:rPr>
        <w:t xml:space="preserve"> Health Hub.</w:t>
      </w:r>
      <w:r>
        <w:rPr>
          <w:sz w:val="24"/>
          <w:szCs w:val="24"/>
        </w:rPr>
        <w:t xml:space="preserve"> Members were also concerned at potential build costs given the current substantial increases in material costs and the impact on leisure centres of the current cost of living crisis and increase in utility costs.</w:t>
      </w:r>
    </w:p>
    <w:p w:rsidR="00C54396" w:rsidRDefault="00C54396" w:rsidP="00C54396">
      <w:pPr>
        <w:ind w:left="720" w:hanging="720"/>
        <w:rPr>
          <w:sz w:val="24"/>
          <w:szCs w:val="24"/>
        </w:rPr>
      </w:pPr>
    </w:p>
    <w:p w:rsidR="00C54396" w:rsidRPr="0033381F" w:rsidRDefault="00C54396" w:rsidP="00C54396">
      <w:pPr>
        <w:ind w:left="720" w:hanging="720"/>
        <w:rPr>
          <w:sz w:val="24"/>
          <w:szCs w:val="24"/>
        </w:rPr>
      </w:pPr>
      <w:r>
        <w:rPr>
          <w:sz w:val="24"/>
          <w:szCs w:val="24"/>
        </w:rPr>
        <w:t>2.15</w:t>
      </w:r>
      <w:r>
        <w:rPr>
          <w:sz w:val="24"/>
          <w:szCs w:val="24"/>
        </w:rPr>
        <w:tab/>
        <w:t>The Committee was advised that operating costs of any Hub would not impact on the 2023/24 General Fund and further that a decision was still required to proceed with the project, which would include an assessment of the sustainability of the project.</w:t>
      </w:r>
    </w:p>
    <w:p w:rsidR="00C54396" w:rsidRDefault="00C54396" w:rsidP="00C54396">
      <w:pPr>
        <w:rPr>
          <w:sz w:val="24"/>
          <w:szCs w:val="24"/>
        </w:rPr>
      </w:pPr>
    </w:p>
    <w:p w:rsidR="00C54396" w:rsidRDefault="00C54396" w:rsidP="00C54396">
      <w:pPr>
        <w:ind w:left="720" w:hanging="720"/>
        <w:rPr>
          <w:sz w:val="24"/>
          <w:szCs w:val="24"/>
        </w:rPr>
      </w:pPr>
      <w:r w:rsidRPr="00387F04">
        <w:rPr>
          <w:b/>
          <w:sz w:val="24"/>
          <w:szCs w:val="24"/>
        </w:rPr>
        <w:t>3.</w:t>
      </w:r>
      <w:r>
        <w:rPr>
          <w:sz w:val="24"/>
          <w:szCs w:val="24"/>
        </w:rPr>
        <w:tab/>
      </w:r>
      <w:r>
        <w:rPr>
          <w:b/>
          <w:sz w:val="24"/>
          <w:szCs w:val="24"/>
        </w:rPr>
        <w:t>RECOMMENDATIONS AND CONCLUSIONS</w:t>
      </w:r>
      <w:r>
        <w:rPr>
          <w:sz w:val="24"/>
          <w:szCs w:val="24"/>
        </w:rPr>
        <w:t xml:space="preserve"> </w:t>
      </w:r>
    </w:p>
    <w:p w:rsidR="00C54396" w:rsidRDefault="00C54396" w:rsidP="00C54396">
      <w:pPr>
        <w:ind w:left="720" w:hanging="720"/>
        <w:rPr>
          <w:sz w:val="24"/>
          <w:szCs w:val="24"/>
        </w:rPr>
      </w:pPr>
    </w:p>
    <w:p w:rsidR="00C54396" w:rsidRPr="007F58FC" w:rsidRDefault="00C54396" w:rsidP="00C54396">
      <w:pPr>
        <w:numPr>
          <w:ilvl w:val="0"/>
          <w:numId w:val="6"/>
        </w:numPr>
        <w:rPr>
          <w:b/>
          <w:sz w:val="24"/>
          <w:szCs w:val="24"/>
        </w:rPr>
      </w:pPr>
      <w:r>
        <w:rPr>
          <w:sz w:val="24"/>
          <w:szCs w:val="24"/>
        </w:rPr>
        <w:t>That the proposed balanced General Fund revenue budget be supported, with the exception that the proposed reduction in the Parks Establishment be not included in the proposed budget and that amount of voluntary redundancies sought be increased to maintain a balanced General Fund.</w:t>
      </w:r>
    </w:p>
    <w:p w:rsidR="00C54396" w:rsidRPr="00B72D25" w:rsidRDefault="00C54396" w:rsidP="00C54396">
      <w:pPr>
        <w:ind w:left="1440"/>
        <w:rPr>
          <w:b/>
          <w:sz w:val="24"/>
          <w:szCs w:val="24"/>
        </w:rPr>
      </w:pPr>
    </w:p>
    <w:p w:rsidR="00C54396" w:rsidRPr="007F58FC" w:rsidRDefault="00C54396" w:rsidP="00C54396">
      <w:pPr>
        <w:numPr>
          <w:ilvl w:val="0"/>
          <w:numId w:val="6"/>
        </w:numPr>
        <w:rPr>
          <w:b/>
          <w:sz w:val="24"/>
          <w:szCs w:val="24"/>
        </w:rPr>
      </w:pPr>
      <w:r>
        <w:rPr>
          <w:sz w:val="24"/>
          <w:szCs w:val="24"/>
        </w:rPr>
        <w:t>That the proposed Housing Revenue Account revenue budget be supported.</w:t>
      </w:r>
    </w:p>
    <w:p w:rsidR="00C54396" w:rsidRPr="00B72D25" w:rsidRDefault="00C54396" w:rsidP="00C54396">
      <w:pPr>
        <w:rPr>
          <w:b/>
          <w:sz w:val="24"/>
          <w:szCs w:val="24"/>
        </w:rPr>
      </w:pPr>
    </w:p>
    <w:p w:rsidR="00C54396" w:rsidRPr="007F58FC" w:rsidRDefault="00C54396" w:rsidP="00C54396">
      <w:pPr>
        <w:numPr>
          <w:ilvl w:val="0"/>
          <w:numId w:val="6"/>
        </w:numPr>
        <w:rPr>
          <w:b/>
          <w:sz w:val="24"/>
          <w:szCs w:val="24"/>
        </w:rPr>
      </w:pPr>
      <w:r>
        <w:rPr>
          <w:sz w:val="24"/>
          <w:szCs w:val="24"/>
        </w:rPr>
        <w:t>That the absence of an increase, in the Executive’s proposals, in the authority’s element of Council Tax for 2023/24, be supported.</w:t>
      </w:r>
    </w:p>
    <w:p w:rsidR="00C54396" w:rsidRPr="00B72D25" w:rsidRDefault="00C54396" w:rsidP="00C54396">
      <w:pPr>
        <w:rPr>
          <w:b/>
          <w:sz w:val="24"/>
          <w:szCs w:val="24"/>
        </w:rPr>
      </w:pPr>
    </w:p>
    <w:p w:rsidR="00C54396" w:rsidRPr="007F58FC" w:rsidRDefault="00C54396" w:rsidP="00C54396">
      <w:pPr>
        <w:numPr>
          <w:ilvl w:val="0"/>
          <w:numId w:val="6"/>
        </w:numPr>
        <w:rPr>
          <w:b/>
          <w:sz w:val="24"/>
          <w:szCs w:val="24"/>
        </w:rPr>
      </w:pPr>
      <w:r>
        <w:rPr>
          <w:sz w:val="24"/>
          <w:szCs w:val="24"/>
        </w:rPr>
        <w:t>That the principles for determining the authority’s fees and charges for 2023/24 be approved.</w:t>
      </w:r>
    </w:p>
    <w:p w:rsidR="00C54396" w:rsidRPr="007F58FC" w:rsidRDefault="00C54396" w:rsidP="00C54396">
      <w:pPr>
        <w:rPr>
          <w:b/>
          <w:sz w:val="24"/>
          <w:szCs w:val="24"/>
        </w:rPr>
      </w:pPr>
    </w:p>
    <w:p w:rsidR="00C54396" w:rsidRPr="00C56609" w:rsidRDefault="00C54396" w:rsidP="00C54396">
      <w:pPr>
        <w:numPr>
          <w:ilvl w:val="0"/>
          <w:numId w:val="6"/>
        </w:numPr>
        <w:rPr>
          <w:b/>
          <w:sz w:val="24"/>
          <w:szCs w:val="24"/>
        </w:rPr>
      </w:pPr>
      <w:r>
        <w:rPr>
          <w:sz w:val="24"/>
          <w:szCs w:val="24"/>
        </w:rPr>
        <w:t>That the consolidated capital programme for General Fund and Housing Revenue Account be supported.</w:t>
      </w:r>
    </w:p>
    <w:p w:rsidR="00C54396" w:rsidRDefault="00C54396" w:rsidP="00C54396">
      <w:pPr>
        <w:pStyle w:val="ListParagraph"/>
        <w:rPr>
          <w:b/>
          <w:sz w:val="24"/>
          <w:szCs w:val="24"/>
        </w:rPr>
      </w:pPr>
    </w:p>
    <w:p w:rsidR="00C54396" w:rsidRPr="0070622A" w:rsidRDefault="00C54396" w:rsidP="00C54396">
      <w:pPr>
        <w:numPr>
          <w:ilvl w:val="0"/>
          <w:numId w:val="6"/>
        </w:numPr>
        <w:rPr>
          <w:b/>
          <w:sz w:val="24"/>
          <w:szCs w:val="24"/>
        </w:rPr>
      </w:pPr>
      <w:r>
        <w:rPr>
          <w:sz w:val="24"/>
          <w:szCs w:val="24"/>
        </w:rPr>
        <w:t xml:space="preserve">That the Executive respond to the Committee’s concerns regarding the </w:t>
      </w:r>
      <w:proofErr w:type="spellStart"/>
      <w:r>
        <w:rPr>
          <w:sz w:val="24"/>
          <w:szCs w:val="24"/>
        </w:rPr>
        <w:t>Warsop</w:t>
      </w:r>
      <w:proofErr w:type="spellEnd"/>
      <w:r>
        <w:rPr>
          <w:sz w:val="24"/>
          <w:szCs w:val="24"/>
        </w:rPr>
        <w:t xml:space="preserve"> Health Hub, including the future sustainability of the proposed Hub.</w:t>
      </w:r>
    </w:p>
    <w:p w:rsidR="00C54396" w:rsidRDefault="00C54396" w:rsidP="00C54396">
      <w:pPr>
        <w:ind w:left="720" w:hanging="720"/>
        <w:rPr>
          <w:b/>
          <w:sz w:val="24"/>
          <w:szCs w:val="24"/>
        </w:rPr>
      </w:pPr>
    </w:p>
    <w:p w:rsidR="00C54396" w:rsidRDefault="00C54396" w:rsidP="00C54396">
      <w:pPr>
        <w:pStyle w:val="ListParagraph"/>
        <w:rPr>
          <w:sz w:val="24"/>
          <w:szCs w:val="24"/>
        </w:rPr>
      </w:pPr>
    </w:p>
    <w:p w:rsidR="00C54396" w:rsidRPr="00531CC4" w:rsidRDefault="00C54396" w:rsidP="00C54396">
      <w:pPr>
        <w:rPr>
          <w:sz w:val="24"/>
          <w:szCs w:val="24"/>
        </w:rPr>
      </w:pPr>
      <w:r>
        <w:rPr>
          <w:b/>
          <w:sz w:val="24"/>
          <w:szCs w:val="24"/>
        </w:rPr>
        <w:t>4</w:t>
      </w:r>
      <w:r w:rsidRPr="00531CC4">
        <w:rPr>
          <w:b/>
          <w:sz w:val="24"/>
          <w:szCs w:val="24"/>
        </w:rPr>
        <w:t>.</w:t>
      </w:r>
      <w:r w:rsidRPr="00531CC4">
        <w:rPr>
          <w:b/>
          <w:sz w:val="24"/>
          <w:szCs w:val="24"/>
        </w:rPr>
        <w:tab/>
        <w:t>COMMENTS OF STATUTORY OFFICERS</w:t>
      </w:r>
    </w:p>
    <w:p w:rsidR="00C54396" w:rsidRPr="00531CC4" w:rsidRDefault="00C54396" w:rsidP="00C54396">
      <w:pPr>
        <w:rPr>
          <w:sz w:val="24"/>
          <w:szCs w:val="24"/>
        </w:rPr>
      </w:pPr>
    </w:p>
    <w:p w:rsidR="00C54396" w:rsidRPr="0006469B" w:rsidRDefault="00C54396" w:rsidP="00C54396">
      <w:pPr>
        <w:ind w:left="720" w:hanging="720"/>
        <w:rPr>
          <w:rFonts w:ascii="Calibri" w:hAnsi="Calibri"/>
          <w:sz w:val="24"/>
          <w:szCs w:val="24"/>
        </w:rPr>
      </w:pPr>
      <w:r>
        <w:rPr>
          <w:sz w:val="24"/>
          <w:szCs w:val="24"/>
        </w:rPr>
        <w:t>(a)</w:t>
      </w:r>
      <w:r>
        <w:rPr>
          <w:sz w:val="24"/>
          <w:szCs w:val="24"/>
        </w:rPr>
        <w:tab/>
      </w:r>
      <w:r w:rsidRPr="0006469B">
        <w:rPr>
          <w:sz w:val="24"/>
          <w:szCs w:val="24"/>
        </w:rPr>
        <w:t xml:space="preserve">Head of Paid Service – </w:t>
      </w:r>
      <w:r w:rsidRPr="00696E61">
        <w:rPr>
          <w:sz w:val="24"/>
          <w:szCs w:val="24"/>
        </w:rPr>
        <w:t>It is Paramount that a balanced budget for financial year 2023/24 is achieved and the recommendations and conclusions presented in this report support achieving that aim.</w:t>
      </w:r>
    </w:p>
    <w:p w:rsidR="00C54396" w:rsidRPr="0006469B" w:rsidRDefault="00C54396" w:rsidP="00C54396">
      <w:pPr>
        <w:ind w:left="720" w:hanging="720"/>
        <w:rPr>
          <w:sz w:val="24"/>
          <w:szCs w:val="24"/>
        </w:rPr>
      </w:pPr>
    </w:p>
    <w:p w:rsidR="00C54396" w:rsidRDefault="00C54396" w:rsidP="00C54396">
      <w:pPr>
        <w:ind w:left="720" w:hanging="720"/>
        <w:rPr>
          <w:rFonts w:ascii="Calibri" w:hAnsi="Calibri"/>
          <w:sz w:val="24"/>
          <w:szCs w:val="24"/>
        </w:rPr>
      </w:pPr>
      <w:r w:rsidRPr="0006469B">
        <w:rPr>
          <w:sz w:val="24"/>
          <w:szCs w:val="24"/>
        </w:rPr>
        <w:t>(b)</w:t>
      </w:r>
      <w:r w:rsidRPr="0006469B">
        <w:rPr>
          <w:sz w:val="24"/>
          <w:szCs w:val="24"/>
        </w:rPr>
        <w:tab/>
      </w:r>
      <w:r>
        <w:rPr>
          <w:sz w:val="24"/>
          <w:szCs w:val="24"/>
        </w:rPr>
        <w:t xml:space="preserve">Deputy </w:t>
      </w:r>
      <w:r w:rsidRPr="0006469B">
        <w:rPr>
          <w:sz w:val="24"/>
          <w:szCs w:val="24"/>
        </w:rPr>
        <w:t xml:space="preserve">Monitoring Officer – </w:t>
      </w:r>
      <w:r>
        <w:rPr>
          <w:rFonts w:cs="Arial"/>
          <w:sz w:val="24"/>
          <w:szCs w:val="24"/>
        </w:rPr>
        <w:t>The Executive shall, in accordance with the Constitution, consider the comments from the Overview and Scrutiny Committee prior to finalising the budget to recommend to Council. The report to Council will include the Executive’s response to the comments made by the Overview and Scrutiny Committee.</w:t>
      </w:r>
    </w:p>
    <w:p w:rsidR="00C54396" w:rsidRPr="0006469B" w:rsidRDefault="00C54396" w:rsidP="00C54396">
      <w:pPr>
        <w:rPr>
          <w:sz w:val="24"/>
          <w:szCs w:val="24"/>
        </w:rPr>
      </w:pPr>
    </w:p>
    <w:p w:rsidR="00C54396" w:rsidRPr="00466D21" w:rsidRDefault="00C54396" w:rsidP="00C54396">
      <w:pPr>
        <w:ind w:left="720" w:hanging="720"/>
        <w:rPr>
          <w:rFonts w:ascii="Calibri" w:hAnsi="Calibri"/>
          <w:color w:val="1F497D"/>
        </w:rPr>
      </w:pPr>
      <w:r w:rsidRPr="0006469B">
        <w:rPr>
          <w:sz w:val="24"/>
          <w:szCs w:val="24"/>
        </w:rPr>
        <w:t>(c)</w:t>
      </w:r>
      <w:r w:rsidRPr="0006469B">
        <w:rPr>
          <w:sz w:val="24"/>
          <w:szCs w:val="24"/>
        </w:rPr>
        <w:tab/>
      </w:r>
      <w:r>
        <w:rPr>
          <w:sz w:val="24"/>
          <w:szCs w:val="24"/>
        </w:rPr>
        <w:t xml:space="preserve">Deputy </w:t>
      </w:r>
      <w:r w:rsidRPr="0006469B">
        <w:rPr>
          <w:sz w:val="24"/>
          <w:szCs w:val="24"/>
        </w:rPr>
        <w:t>Section 151 Officer -</w:t>
      </w:r>
      <w:r>
        <w:rPr>
          <w:sz w:val="24"/>
          <w:szCs w:val="24"/>
        </w:rPr>
        <w:t xml:space="preserve"> </w:t>
      </w:r>
      <w:r w:rsidRPr="00717780">
        <w:rPr>
          <w:sz w:val="24"/>
          <w:szCs w:val="24"/>
        </w:rPr>
        <w:t>The recommendations and conclusions presented in this report support a balance bu</w:t>
      </w:r>
      <w:r>
        <w:rPr>
          <w:sz w:val="24"/>
          <w:szCs w:val="24"/>
        </w:rPr>
        <w:t>dget for the financial year 2023/24</w:t>
      </w:r>
      <w:r w:rsidRPr="00717780">
        <w:rPr>
          <w:sz w:val="24"/>
          <w:szCs w:val="24"/>
        </w:rPr>
        <w:t xml:space="preserve"> in line with the proposals put forward by the Council’s Executive.</w:t>
      </w:r>
    </w:p>
    <w:p w:rsidR="00C54396" w:rsidRPr="00531CC4" w:rsidRDefault="00C54396" w:rsidP="00C54396">
      <w:pPr>
        <w:rPr>
          <w:sz w:val="24"/>
          <w:szCs w:val="24"/>
        </w:rPr>
      </w:pPr>
    </w:p>
    <w:p w:rsidR="00C54396" w:rsidRPr="00531CC4" w:rsidRDefault="00C54396" w:rsidP="00C54396">
      <w:pPr>
        <w:rPr>
          <w:b/>
          <w:sz w:val="24"/>
          <w:szCs w:val="24"/>
        </w:rPr>
      </w:pPr>
      <w:r>
        <w:rPr>
          <w:b/>
          <w:sz w:val="24"/>
          <w:szCs w:val="24"/>
        </w:rPr>
        <w:t>5</w:t>
      </w:r>
      <w:r w:rsidRPr="00531CC4">
        <w:rPr>
          <w:b/>
          <w:sz w:val="24"/>
          <w:szCs w:val="24"/>
        </w:rPr>
        <w:t>.</w:t>
      </w:r>
      <w:r w:rsidRPr="00531CC4">
        <w:rPr>
          <w:b/>
          <w:sz w:val="24"/>
          <w:szCs w:val="24"/>
        </w:rPr>
        <w:tab/>
        <w:t>BACKGROUND PAPERS</w:t>
      </w:r>
    </w:p>
    <w:p w:rsidR="00C54396" w:rsidRPr="00531CC4" w:rsidRDefault="00C54396" w:rsidP="00C54396">
      <w:pPr>
        <w:rPr>
          <w:sz w:val="24"/>
          <w:szCs w:val="24"/>
        </w:rPr>
      </w:pPr>
    </w:p>
    <w:p w:rsidR="00C54396" w:rsidRDefault="00C54396" w:rsidP="00C54396">
      <w:pPr>
        <w:rPr>
          <w:sz w:val="24"/>
          <w:szCs w:val="24"/>
        </w:rPr>
      </w:pPr>
      <w:r>
        <w:rPr>
          <w:sz w:val="24"/>
          <w:szCs w:val="24"/>
        </w:rPr>
        <w:tab/>
        <w:t>Budget papers held in the Accountancy.</w:t>
      </w:r>
    </w:p>
    <w:p w:rsidR="00C54396" w:rsidRPr="00531CC4" w:rsidRDefault="00C54396" w:rsidP="00C54396">
      <w:pPr>
        <w:rPr>
          <w:sz w:val="24"/>
          <w:szCs w:val="24"/>
        </w:rPr>
      </w:pPr>
    </w:p>
    <w:tbl>
      <w:tblPr>
        <w:tblW w:w="0" w:type="auto"/>
        <w:tblLook w:val="01E0" w:firstRow="1" w:lastRow="1" w:firstColumn="1" w:lastColumn="1" w:noHBand="0" w:noVBand="0"/>
      </w:tblPr>
      <w:tblGrid>
        <w:gridCol w:w="1788"/>
        <w:gridCol w:w="296"/>
        <w:gridCol w:w="6910"/>
      </w:tblGrid>
      <w:tr w:rsidR="00C54396" w:rsidRPr="003506D3" w:rsidTr="00E73892">
        <w:tc>
          <w:tcPr>
            <w:tcW w:w="1788" w:type="dxa"/>
            <w:shd w:val="clear" w:color="auto" w:fill="auto"/>
          </w:tcPr>
          <w:p w:rsidR="00C54396" w:rsidRPr="003506D3" w:rsidRDefault="00C54396" w:rsidP="00E73892">
            <w:pPr>
              <w:rPr>
                <w:rFonts w:cs="Arial"/>
                <w:sz w:val="24"/>
                <w:szCs w:val="24"/>
              </w:rPr>
            </w:pPr>
            <w:r w:rsidRPr="003506D3">
              <w:rPr>
                <w:rFonts w:cs="Arial"/>
                <w:sz w:val="24"/>
                <w:szCs w:val="24"/>
              </w:rPr>
              <w:t>Report Author</w:t>
            </w:r>
          </w:p>
        </w:tc>
        <w:tc>
          <w:tcPr>
            <w:tcW w:w="296" w:type="dxa"/>
            <w:shd w:val="clear" w:color="auto" w:fill="auto"/>
          </w:tcPr>
          <w:p w:rsidR="00C54396" w:rsidRPr="003506D3" w:rsidRDefault="00C54396" w:rsidP="00E73892">
            <w:pPr>
              <w:rPr>
                <w:rFonts w:cs="Arial"/>
                <w:sz w:val="24"/>
                <w:szCs w:val="24"/>
              </w:rPr>
            </w:pPr>
            <w:r w:rsidRPr="003506D3">
              <w:rPr>
                <w:rFonts w:cs="Arial"/>
                <w:sz w:val="24"/>
                <w:szCs w:val="24"/>
              </w:rPr>
              <w:t>-</w:t>
            </w:r>
          </w:p>
        </w:tc>
        <w:tc>
          <w:tcPr>
            <w:tcW w:w="6910" w:type="dxa"/>
            <w:shd w:val="clear" w:color="auto" w:fill="auto"/>
          </w:tcPr>
          <w:p w:rsidR="00C54396" w:rsidRPr="003506D3" w:rsidRDefault="00C54396" w:rsidP="00E73892">
            <w:pPr>
              <w:rPr>
                <w:rFonts w:cs="Arial"/>
                <w:sz w:val="24"/>
                <w:szCs w:val="24"/>
              </w:rPr>
            </w:pPr>
            <w:r w:rsidRPr="003506D3">
              <w:rPr>
                <w:rFonts w:cs="Arial"/>
                <w:sz w:val="24"/>
                <w:szCs w:val="24"/>
              </w:rPr>
              <w:t>Mark Pemberton</w:t>
            </w:r>
          </w:p>
        </w:tc>
      </w:tr>
      <w:tr w:rsidR="00C54396" w:rsidRPr="003506D3" w:rsidTr="00E73892">
        <w:tc>
          <w:tcPr>
            <w:tcW w:w="1788" w:type="dxa"/>
            <w:shd w:val="clear" w:color="auto" w:fill="auto"/>
          </w:tcPr>
          <w:p w:rsidR="00C54396" w:rsidRPr="003506D3" w:rsidRDefault="00C54396" w:rsidP="00E73892">
            <w:pPr>
              <w:rPr>
                <w:rFonts w:cs="Arial"/>
                <w:sz w:val="24"/>
                <w:szCs w:val="24"/>
              </w:rPr>
            </w:pPr>
            <w:r w:rsidRPr="003506D3">
              <w:rPr>
                <w:rFonts w:cs="Arial"/>
                <w:sz w:val="24"/>
                <w:szCs w:val="24"/>
              </w:rPr>
              <w:t>Designation</w:t>
            </w:r>
          </w:p>
        </w:tc>
        <w:tc>
          <w:tcPr>
            <w:tcW w:w="296" w:type="dxa"/>
            <w:shd w:val="clear" w:color="auto" w:fill="auto"/>
          </w:tcPr>
          <w:p w:rsidR="00C54396" w:rsidRPr="003506D3" w:rsidRDefault="00C54396" w:rsidP="00E73892">
            <w:pPr>
              <w:rPr>
                <w:rFonts w:cs="Arial"/>
                <w:sz w:val="24"/>
                <w:szCs w:val="24"/>
              </w:rPr>
            </w:pPr>
            <w:r w:rsidRPr="003506D3">
              <w:rPr>
                <w:rFonts w:cs="Arial"/>
                <w:sz w:val="24"/>
                <w:szCs w:val="24"/>
              </w:rPr>
              <w:t>-</w:t>
            </w:r>
          </w:p>
        </w:tc>
        <w:tc>
          <w:tcPr>
            <w:tcW w:w="6910" w:type="dxa"/>
            <w:shd w:val="clear" w:color="auto" w:fill="auto"/>
          </w:tcPr>
          <w:p w:rsidR="00C54396" w:rsidRPr="003506D3" w:rsidRDefault="00C54396" w:rsidP="00E73892">
            <w:pPr>
              <w:rPr>
                <w:rFonts w:cs="Arial"/>
                <w:sz w:val="24"/>
                <w:szCs w:val="24"/>
              </w:rPr>
            </w:pPr>
            <w:r w:rsidRPr="003506D3">
              <w:rPr>
                <w:rFonts w:cs="Arial"/>
                <w:sz w:val="24"/>
                <w:szCs w:val="24"/>
              </w:rPr>
              <w:t>Democratic Se</w:t>
            </w:r>
            <w:r>
              <w:rPr>
                <w:rFonts w:cs="Arial"/>
                <w:sz w:val="24"/>
                <w:szCs w:val="24"/>
              </w:rPr>
              <w:t xml:space="preserve">rvices </w:t>
            </w:r>
            <w:r w:rsidRPr="003506D3">
              <w:rPr>
                <w:rFonts w:cs="Arial"/>
                <w:sz w:val="24"/>
                <w:szCs w:val="24"/>
              </w:rPr>
              <w:t>Manager</w:t>
            </w:r>
          </w:p>
        </w:tc>
      </w:tr>
      <w:tr w:rsidR="00C54396" w:rsidRPr="003506D3" w:rsidTr="00E73892">
        <w:tc>
          <w:tcPr>
            <w:tcW w:w="1788" w:type="dxa"/>
            <w:shd w:val="clear" w:color="auto" w:fill="auto"/>
          </w:tcPr>
          <w:p w:rsidR="00C54396" w:rsidRPr="003506D3" w:rsidRDefault="00C54396" w:rsidP="00E73892">
            <w:pPr>
              <w:rPr>
                <w:rFonts w:cs="Arial"/>
                <w:sz w:val="24"/>
                <w:szCs w:val="24"/>
              </w:rPr>
            </w:pPr>
            <w:r w:rsidRPr="003506D3">
              <w:rPr>
                <w:rFonts w:cs="Arial"/>
                <w:sz w:val="24"/>
                <w:szCs w:val="24"/>
              </w:rPr>
              <w:t>Telephone</w:t>
            </w:r>
          </w:p>
        </w:tc>
        <w:tc>
          <w:tcPr>
            <w:tcW w:w="296" w:type="dxa"/>
            <w:shd w:val="clear" w:color="auto" w:fill="auto"/>
          </w:tcPr>
          <w:p w:rsidR="00C54396" w:rsidRPr="003506D3" w:rsidRDefault="00C54396" w:rsidP="00E73892">
            <w:pPr>
              <w:rPr>
                <w:rFonts w:cs="Arial"/>
                <w:sz w:val="24"/>
                <w:szCs w:val="24"/>
              </w:rPr>
            </w:pPr>
            <w:r w:rsidRPr="003506D3">
              <w:rPr>
                <w:rFonts w:cs="Arial"/>
                <w:sz w:val="24"/>
                <w:szCs w:val="24"/>
              </w:rPr>
              <w:t>-</w:t>
            </w:r>
          </w:p>
        </w:tc>
        <w:tc>
          <w:tcPr>
            <w:tcW w:w="6910" w:type="dxa"/>
            <w:shd w:val="clear" w:color="auto" w:fill="auto"/>
          </w:tcPr>
          <w:p w:rsidR="00C54396" w:rsidRPr="003506D3" w:rsidRDefault="00C54396" w:rsidP="00E73892">
            <w:pPr>
              <w:rPr>
                <w:rFonts w:cs="Arial"/>
                <w:sz w:val="24"/>
                <w:szCs w:val="24"/>
              </w:rPr>
            </w:pPr>
            <w:r w:rsidRPr="003506D3">
              <w:rPr>
                <w:rFonts w:cs="Arial"/>
                <w:sz w:val="24"/>
                <w:szCs w:val="24"/>
              </w:rPr>
              <w:t>01623 463301</w:t>
            </w:r>
          </w:p>
        </w:tc>
      </w:tr>
      <w:tr w:rsidR="00C54396" w:rsidRPr="003506D3" w:rsidTr="00E73892">
        <w:tc>
          <w:tcPr>
            <w:tcW w:w="1788" w:type="dxa"/>
            <w:shd w:val="clear" w:color="auto" w:fill="auto"/>
          </w:tcPr>
          <w:p w:rsidR="00C54396" w:rsidRPr="003506D3" w:rsidRDefault="00C54396" w:rsidP="00E73892">
            <w:pPr>
              <w:rPr>
                <w:rFonts w:cs="Arial"/>
                <w:sz w:val="24"/>
                <w:szCs w:val="24"/>
              </w:rPr>
            </w:pPr>
            <w:r w:rsidRPr="003506D3">
              <w:rPr>
                <w:rFonts w:cs="Arial"/>
                <w:sz w:val="24"/>
                <w:szCs w:val="24"/>
              </w:rPr>
              <w:t>E-mail</w:t>
            </w:r>
          </w:p>
        </w:tc>
        <w:tc>
          <w:tcPr>
            <w:tcW w:w="296" w:type="dxa"/>
            <w:shd w:val="clear" w:color="auto" w:fill="auto"/>
          </w:tcPr>
          <w:p w:rsidR="00C54396" w:rsidRPr="003506D3" w:rsidRDefault="00C54396" w:rsidP="00E73892">
            <w:pPr>
              <w:rPr>
                <w:rFonts w:cs="Arial"/>
                <w:sz w:val="24"/>
                <w:szCs w:val="24"/>
              </w:rPr>
            </w:pPr>
            <w:r w:rsidRPr="003506D3">
              <w:rPr>
                <w:rFonts w:cs="Arial"/>
                <w:sz w:val="24"/>
                <w:szCs w:val="24"/>
              </w:rPr>
              <w:t>-</w:t>
            </w:r>
          </w:p>
        </w:tc>
        <w:tc>
          <w:tcPr>
            <w:tcW w:w="6910" w:type="dxa"/>
            <w:shd w:val="clear" w:color="auto" w:fill="auto"/>
          </w:tcPr>
          <w:p w:rsidR="00C54396" w:rsidRPr="003506D3" w:rsidRDefault="009D61A7" w:rsidP="00E73892">
            <w:pPr>
              <w:rPr>
                <w:rFonts w:cs="Arial"/>
                <w:sz w:val="24"/>
                <w:szCs w:val="24"/>
              </w:rPr>
            </w:pPr>
            <w:hyperlink r:id="rId19" w:history="1">
              <w:r w:rsidR="00C54396" w:rsidRPr="003506D3">
                <w:rPr>
                  <w:rStyle w:val="Hyperlink"/>
                  <w:rFonts w:cs="Arial"/>
                  <w:sz w:val="24"/>
                  <w:szCs w:val="24"/>
                </w:rPr>
                <w:t>mpemberton@mansfield.gov.uk</w:t>
              </w:r>
            </w:hyperlink>
            <w:r w:rsidR="00C54396" w:rsidRPr="003506D3">
              <w:rPr>
                <w:rFonts w:cs="Arial"/>
                <w:sz w:val="24"/>
                <w:szCs w:val="24"/>
              </w:rPr>
              <w:t xml:space="preserve"> </w:t>
            </w:r>
          </w:p>
        </w:tc>
      </w:tr>
    </w:tbl>
    <w:p w:rsidR="00C54396" w:rsidRDefault="00C54396" w:rsidP="00C54396">
      <w:pPr>
        <w:rPr>
          <w:b/>
          <w:sz w:val="32"/>
          <w:szCs w:val="32"/>
        </w:rPr>
      </w:pPr>
      <w:r>
        <w:rPr>
          <w:b/>
          <w:sz w:val="32"/>
          <w:szCs w:val="32"/>
        </w:rPr>
        <w:t>Appendix 8</w:t>
      </w:r>
    </w:p>
    <w:p w:rsidR="00C54396" w:rsidRDefault="00C54396" w:rsidP="00C54396">
      <w:pPr>
        <w:rPr>
          <w:b/>
          <w:sz w:val="32"/>
          <w:szCs w:val="32"/>
        </w:rPr>
      </w:pPr>
    </w:p>
    <w:p w:rsidR="00C54396" w:rsidRPr="00643BD5" w:rsidRDefault="00C54396" w:rsidP="00C54396">
      <w:pPr>
        <w:jc w:val="center"/>
        <w:rPr>
          <w:rFonts w:cs="Arial"/>
          <w:b/>
          <w:sz w:val="28"/>
          <w:szCs w:val="28"/>
        </w:rPr>
      </w:pPr>
      <w:r w:rsidRPr="00643BD5">
        <w:rPr>
          <w:rFonts w:cs="Arial"/>
          <w:b/>
          <w:sz w:val="28"/>
          <w:szCs w:val="28"/>
        </w:rPr>
        <w:t>Report of the Portfolio Holder for Corporate and Finance</w:t>
      </w:r>
    </w:p>
    <w:p w:rsidR="00C54396" w:rsidRPr="00643BD5" w:rsidRDefault="00C54396" w:rsidP="00C54396">
      <w:pPr>
        <w:jc w:val="center"/>
        <w:rPr>
          <w:rFonts w:cs="Arial"/>
          <w:b/>
          <w:sz w:val="28"/>
          <w:szCs w:val="28"/>
        </w:rPr>
      </w:pPr>
      <w:r w:rsidRPr="00643BD5">
        <w:rPr>
          <w:rFonts w:cs="Arial"/>
          <w:b/>
          <w:sz w:val="28"/>
          <w:szCs w:val="28"/>
        </w:rPr>
        <w:t>To</w:t>
      </w:r>
    </w:p>
    <w:p w:rsidR="00C54396" w:rsidRPr="00643BD5" w:rsidRDefault="00C54396" w:rsidP="00C54396">
      <w:pPr>
        <w:jc w:val="center"/>
        <w:rPr>
          <w:rFonts w:cs="Arial"/>
          <w:b/>
          <w:sz w:val="28"/>
          <w:szCs w:val="28"/>
        </w:rPr>
      </w:pPr>
      <w:r w:rsidRPr="00643BD5">
        <w:rPr>
          <w:rFonts w:cs="Arial"/>
          <w:b/>
          <w:sz w:val="28"/>
          <w:szCs w:val="28"/>
        </w:rPr>
        <w:t>Overview &amp; Scrutiny Committee (Corporate)</w:t>
      </w:r>
    </w:p>
    <w:p w:rsidR="00C54396" w:rsidRPr="00643BD5" w:rsidRDefault="00C54396" w:rsidP="00C54396">
      <w:pPr>
        <w:jc w:val="center"/>
        <w:rPr>
          <w:rFonts w:cs="Arial"/>
          <w:b/>
          <w:sz w:val="28"/>
          <w:szCs w:val="28"/>
        </w:rPr>
      </w:pPr>
      <w:r w:rsidRPr="00643BD5">
        <w:rPr>
          <w:rFonts w:cs="Arial"/>
          <w:b/>
          <w:sz w:val="28"/>
          <w:szCs w:val="28"/>
        </w:rPr>
        <w:t>On</w:t>
      </w:r>
    </w:p>
    <w:p w:rsidR="00C54396" w:rsidRPr="00643BD5" w:rsidRDefault="00C54396" w:rsidP="00C54396">
      <w:pPr>
        <w:jc w:val="center"/>
        <w:rPr>
          <w:rFonts w:cs="Arial"/>
          <w:b/>
          <w:sz w:val="28"/>
          <w:szCs w:val="28"/>
        </w:rPr>
      </w:pPr>
      <w:r>
        <w:rPr>
          <w:rFonts w:cs="Arial"/>
          <w:b/>
          <w:sz w:val="28"/>
          <w:szCs w:val="28"/>
        </w:rPr>
        <w:t>4</w:t>
      </w:r>
      <w:r w:rsidRPr="00643BD5">
        <w:rPr>
          <w:rFonts w:cs="Arial"/>
          <w:b/>
          <w:sz w:val="28"/>
          <w:szCs w:val="28"/>
        </w:rPr>
        <w:t xml:space="preserve"> January 20</w:t>
      </w:r>
      <w:r>
        <w:rPr>
          <w:rFonts w:cs="Arial"/>
          <w:b/>
          <w:sz w:val="28"/>
          <w:szCs w:val="28"/>
        </w:rPr>
        <w:t>23</w:t>
      </w:r>
    </w:p>
    <w:p w:rsidR="00C54396" w:rsidRPr="00643BD5" w:rsidRDefault="00C54396" w:rsidP="00C54396">
      <w:pPr>
        <w:rPr>
          <w:rFonts w:cs="Arial"/>
          <w:sz w:val="24"/>
          <w:szCs w:val="24"/>
        </w:rPr>
      </w:pPr>
    </w:p>
    <w:tbl>
      <w:tblPr>
        <w:tblW w:w="0" w:type="auto"/>
        <w:tblLook w:val="01E0" w:firstRow="1" w:lastRow="1" w:firstColumn="1" w:lastColumn="1" w:noHBand="0" w:noVBand="0"/>
      </w:tblPr>
      <w:tblGrid>
        <w:gridCol w:w="9026"/>
      </w:tblGrid>
      <w:tr w:rsidR="00C54396" w:rsidRPr="00643BD5" w:rsidTr="00E73892">
        <w:tc>
          <w:tcPr>
            <w:tcW w:w="9242" w:type="dxa"/>
            <w:tcBorders>
              <w:top w:val="single" w:sz="24" w:space="0" w:color="auto"/>
              <w:bottom w:val="single" w:sz="24" w:space="0" w:color="auto"/>
            </w:tcBorders>
            <w:shd w:val="clear" w:color="auto" w:fill="auto"/>
          </w:tcPr>
          <w:p w:rsidR="00C54396" w:rsidRPr="00643BD5" w:rsidRDefault="00C54396" w:rsidP="00E73892">
            <w:pPr>
              <w:spacing w:before="240" w:after="240"/>
              <w:jc w:val="center"/>
              <w:rPr>
                <w:rFonts w:cs="Arial"/>
                <w:b/>
                <w:sz w:val="24"/>
                <w:szCs w:val="24"/>
              </w:rPr>
            </w:pPr>
            <w:r w:rsidRPr="00643BD5">
              <w:rPr>
                <w:rFonts w:cs="Arial"/>
                <w:b/>
                <w:sz w:val="24"/>
                <w:szCs w:val="24"/>
              </w:rPr>
              <w:t>RESPONSE OF THE PORTFOLIO HOLDER FOR CORPORATE AND FINANCE TO OVERVIEW AND SCRUTINY COMMITTEE (CORPORATE) RECOMMENDATIONS ON THE MEDIUM TERM FINANCIAL STRATEGY</w:t>
            </w:r>
          </w:p>
        </w:tc>
      </w:tr>
    </w:tbl>
    <w:p w:rsidR="00C54396" w:rsidRPr="00643BD5" w:rsidRDefault="00C54396" w:rsidP="00C54396">
      <w:pPr>
        <w:rPr>
          <w:rFonts w:cs="Arial"/>
          <w:sz w:val="24"/>
          <w:szCs w:val="24"/>
        </w:rPr>
      </w:pPr>
    </w:p>
    <w:p w:rsidR="00C54396" w:rsidRPr="00643BD5" w:rsidRDefault="00C54396" w:rsidP="00C54396">
      <w:pPr>
        <w:jc w:val="left"/>
        <w:rPr>
          <w:rFonts w:cs="Arial"/>
          <w:b/>
          <w:sz w:val="24"/>
          <w:szCs w:val="24"/>
        </w:rPr>
      </w:pPr>
    </w:p>
    <w:p w:rsidR="00C54396" w:rsidRPr="00F22C8C" w:rsidRDefault="00C54396" w:rsidP="00C54396">
      <w:pPr>
        <w:jc w:val="left"/>
        <w:rPr>
          <w:rFonts w:cs="Arial"/>
          <w:b/>
          <w:sz w:val="24"/>
          <w:szCs w:val="24"/>
          <w:u w:val="single"/>
        </w:rPr>
      </w:pPr>
      <w:r>
        <w:rPr>
          <w:rFonts w:cs="Arial"/>
          <w:b/>
          <w:sz w:val="24"/>
          <w:szCs w:val="24"/>
          <w:u w:val="single"/>
        </w:rPr>
        <w:t>Background</w:t>
      </w:r>
    </w:p>
    <w:p w:rsidR="00C54396" w:rsidRDefault="00C54396" w:rsidP="00C54396">
      <w:pPr>
        <w:jc w:val="left"/>
        <w:rPr>
          <w:rFonts w:cs="Arial"/>
          <w:sz w:val="24"/>
          <w:szCs w:val="24"/>
        </w:rPr>
      </w:pPr>
    </w:p>
    <w:p w:rsidR="00C54396" w:rsidRPr="00643BD5" w:rsidRDefault="00C54396" w:rsidP="00C54396">
      <w:pPr>
        <w:jc w:val="left"/>
        <w:rPr>
          <w:rFonts w:cs="Arial"/>
          <w:sz w:val="24"/>
          <w:szCs w:val="24"/>
        </w:rPr>
      </w:pPr>
      <w:r w:rsidRPr="00643BD5">
        <w:rPr>
          <w:rFonts w:cs="Arial"/>
          <w:sz w:val="24"/>
          <w:szCs w:val="24"/>
        </w:rPr>
        <w:t>Cabinet would like to thank the members of Overview and Scrutiny Committee (Corporate) for their hard and detailed work in reviewing the proposals made for the 202</w:t>
      </w:r>
      <w:r>
        <w:rPr>
          <w:rFonts w:cs="Arial"/>
          <w:sz w:val="24"/>
          <w:szCs w:val="24"/>
        </w:rPr>
        <w:t>3</w:t>
      </w:r>
      <w:r w:rsidRPr="00643BD5">
        <w:rPr>
          <w:rFonts w:cs="Arial"/>
          <w:sz w:val="24"/>
          <w:szCs w:val="24"/>
        </w:rPr>
        <w:t>/2</w:t>
      </w:r>
      <w:r>
        <w:rPr>
          <w:rFonts w:cs="Arial"/>
          <w:sz w:val="24"/>
          <w:szCs w:val="24"/>
        </w:rPr>
        <w:t>4</w:t>
      </w:r>
      <w:r w:rsidRPr="00643BD5">
        <w:rPr>
          <w:rFonts w:cs="Arial"/>
          <w:sz w:val="24"/>
          <w:szCs w:val="24"/>
        </w:rPr>
        <w:t xml:space="preserve"> to 202</w:t>
      </w:r>
      <w:r>
        <w:rPr>
          <w:rFonts w:cs="Arial"/>
          <w:sz w:val="24"/>
          <w:szCs w:val="24"/>
        </w:rPr>
        <w:t>5</w:t>
      </w:r>
      <w:r w:rsidRPr="00643BD5">
        <w:rPr>
          <w:rFonts w:cs="Arial"/>
          <w:sz w:val="24"/>
          <w:szCs w:val="24"/>
        </w:rPr>
        <w:t>/2</w:t>
      </w:r>
      <w:r>
        <w:rPr>
          <w:rFonts w:cs="Arial"/>
          <w:sz w:val="24"/>
          <w:szCs w:val="24"/>
        </w:rPr>
        <w:t>6</w:t>
      </w:r>
      <w:r w:rsidRPr="00643BD5">
        <w:rPr>
          <w:rFonts w:cs="Arial"/>
          <w:sz w:val="24"/>
          <w:szCs w:val="24"/>
        </w:rPr>
        <w:t xml:space="preserve"> Medium Term Financial Strategy.</w:t>
      </w:r>
    </w:p>
    <w:p w:rsidR="00C54396" w:rsidRPr="00643BD5" w:rsidRDefault="00C54396" w:rsidP="00C54396">
      <w:pPr>
        <w:jc w:val="left"/>
        <w:rPr>
          <w:rFonts w:cs="Arial"/>
          <w:sz w:val="24"/>
          <w:szCs w:val="24"/>
        </w:rPr>
      </w:pPr>
    </w:p>
    <w:p w:rsidR="00C54396" w:rsidRPr="00643BD5" w:rsidRDefault="00C54396" w:rsidP="00C54396">
      <w:pPr>
        <w:jc w:val="left"/>
        <w:rPr>
          <w:rFonts w:cs="Arial"/>
          <w:sz w:val="24"/>
          <w:szCs w:val="24"/>
        </w:rPr>
      </w:pPr>
      <w:r w:rsidRPr="00643BD5">
        <w:rPr>
          <w:rFonts w:cs="Arial"/>
          <w:sz w:val="24"/>
          <w:szCs w:val="24"/>
        </w:rPr>
        <w:t>I have attached your recommendations in Appendix 1</w:t>
      </w:r>
      <w:r>
        <w:rPr>
          <w:rFonts w:cs="Arial"/>
          <w:sz w:val="24"/>
          <w:szCs w:val="24"/>
        </w:rPr>
        <w:t>.</w:t>
      </w:r>
    </w:p>
    <w:p w:rsidR="00C54396" w:rsidRDefault="00C54396" w:rsidP="00C54396">
      <w:pPr>
        <w:jc w:val="left"/>
        <w:rPr>
          <w:rFonts w:cs="Arial"/>
          <w:b/>
          <w:sz w:val="24"/>
          <w:szCs w:val="24"/>
        </w:rPr>
      </w:pPr>
    </w:p>
    <w:p w:rsidR="00C54396" w:rsidRPr="00643BD5" w:rsidRDefault="00C54396" w:rsidP="00C54396">
      <w:pPr>
        <w:jc w:val="left"/>
        <w:rPr>
          <w:rFonts w:cs="Arial"/>
          <w:b/>
          <w:sz w:val="24"/>
          <w:szCs w:val="24"/>
        </w:rPr>
      </w:pPr>
      <w:r>
        <w:rPr>
          <w:rFonts w:cs="Arial"/>
          <w:sz w:val="24"/>
          <w:szCs w:val="24"/>
        </w:rPr>
        <w:t>Since the Committee reported its recommendations to Cabinet the government have announced its draft financial settlement for local authorities. T</w:t>
      </w:r>
      <w:r w:rsidRPr="00643BD5">
        <w:rPr>
          <w:rFonts w:cs="Arial"/>
          <w:sz w:val="24"/>
          <w:szCs w:val="24"/>
        </w:rPr>
        <w:t>he effects of the Chancellor’s Spending Review on the proposed Medium Term Financial Strategy w</w:t>
      </w:r>
      <w:r>
        <w:rPr>
          <w:rFonts w:cs="Arial"/>
          <w:sz w:val="24"/>
          <w:szCs w:val="24"/>
        </w:rPr>
        <w:t>ere</w:t>
      </w:r>
      <w:r w:rsidRPr="00643BD5">
        <w:rPr>
          <w:rFonts w:cs="Arial"/>
          <w:sz w:val="24"/>
          <w:szCs w:val="24"/>
        </w:rPr>
        <w:t xml:space="preserve"> revealed on </w:t>
      </w:r>
      <w:r>
        <w:rPr>
          <w:rFonts w:cs="Arial"/>
          <w:sz w:val="24"/>
          <w:szCs w:val="24"/>
        </w:rPr>
        <w:t>Monday 19</w:t>
      </w:r>
      <w:r w:rsidRPr="00C800F5">
        <w:rPr>
          <w:rFonts w:cs="Arial"/>
          <w:sz w:val="24"/>
          <w:szCs w:val="24"/>
          <w:vertAlign w:val="superscript"/>
        </w:rPr>
        <w:t>th</w:t>
      </w:r>
      <w:r>
        <w:rPr>
          <w:rFonts w:cs="Arial"/>
          <w:sz w:val="24"/>
          <w:szCs w:val="24"/>
        </w:rPr>
        <w:t xml:space="preserve"> </w:t>
      </w:r>
      <w:r w:rsidRPr="00B60E80">
        <w:rPr>
          <w:rFonts w:cs="Arial"/>
          <w:sz w:val="24"/>
          <w:szCs w:val="24"/>
        </w:rPr>
        <w:t>December</w:t>
      </w:r>
      <w:r>
        <w:rPr>
          <w:rFonts w:cs="Arial"/>
          <w:sz w:val="24"/>
          <w:szCs w:val="24"/>
        </w:rPr>
        <w:t>. This has resulted in the C</w:t>
      </w:r>
      <w:r w:rsidRPr="00643BD5">
        <w:rPr>
          <w:rFonts w:cs="Arial"/>
          <w:sz w:val="24"/>
          <w:szCs w:val="24"/>
        </w:rPr>
        <w:t>ouncil receivi</w:t>
      </w:r>
      <w:r>
        <w:rPr>
          <w:rFonts w:cs="Arial"/>
          <w:sz w:val="24"/>
          <w:szCs w:val="24"/>
        </w:rPr>
        <w:t xml:space="preserve">ng </w:t>
      </w:r>
      <w:r w:rsidRPr="009D2F5F">
        <w:rPr>
          <w:rFonts w:cs="Arial"/>
          <w:sz w:val="24"/>
          <w:szCs w:val="24"/>
        </w:rPr>
        <w:t>additional grant for 2023/24 as part of a one year settlement.</w:t>
      </w:r>
      <w:r w:rsidRPr="00643BD5">
        <w:rPr>
          <w:rFonts w:cs="Arial"/>
          <w:sz w:val="24"/>
          <w:szCs w:val="24"/>
        </w:rPr>
        <w:t xml:space="preserve"> </w:t>
      </w:r>
      <w:r>
        <w:rPr>
          <w:rFonts w:cs="Arial"/>
          <w:sz w:val="24"/>
          <w:szCs w:val="24"/>
        </w:rPr>
        <w:t>The outcome has meant an improved position for the Council which has resulted in a change to my original proposals. My full proposal is detailed in Appendix 2.</w:t>
      </w:r>
    </w:p>
    <w:p w:rsidR="00C54396" w:rsidRDefault="00C54396" w:rsidP="00C54396">
      <w:pPr>
        <w:jc w:val="left"/>
        <w:rPr>
          <w:rFonts w:cs="Arial"/>
          <w:b/>
          <w:sz w:val="24"/>
          <w:szCs w:val="24"/>
        </w:rPr>
      </w:pPr>
    </w:p>
    <w:p w:rsidR="00C54396" w:rsidRPr="00F22C8C" w:rsidRDefault="00C54396" w:rsidP="00C54396">
      <w:pPr>
        <w:jc w:val="left"/>
        <w:rPr>
          <w:rFonts w:cs="Arial"/>
          <w:b/>
          <w:sz w:val="24"/>
          <w:szCs w:val="24"/>
          <w:u w:val="single"/>
        </w:rPr>
      </w:pPr>
      <w:r>
        <w:rPr>
          <w:rFonts w:cs="Arial"/>
          <w:b/>
          <w:sz w:val="24"/>
          <w:szCs w:val="24"/>
          <w:u w:val="single"/>
        </w:rPr>
        <w:t>Response to recommendations</w:t>
      </w:r>
    </w:p>
    <w:p w:rsidR="00C54396" w:rsidRPr="00643BD5" w:rsidRDefault="00C54396" w:rsidP="00C54396">
      <w:pPr>
        <w:jc w:val="left"/>
        <w:rPr>
          <w:rFonts w:cs="Arial"/>
          <w:b/>
          <w:sz w:val="24"/>
          <w:szCs w:val="24"/>
        </w:rPr>
      </w:pPr>
    </w:p>
    <w:p w:rsidR="00C54396" w:rsidRPr="00643BD5" w:rsidRDefault="00C54396" w:rsidP="00C54396">
      <w:pPr>
        <w:jc w:val="left"/>
        <w:rPr>
          <w:rFonts w:cs="Arial"/>
          <w:sz w:val="24"/>
          <w:szCs w:val="24"/>
        </w:rPr>
      </w:pPr>
      <w:r w:rsidRPr="00643BD5">
        <w:rPr>
          <w:rFonts w:cs="Arial"/>
          <w:sz w:val="24"/>
          <w:szCs w:val="24"/>
        </w:rPr>
        <w:t>I have set out my responses to each of the recommendations and conclusions made as part of the Overview and Scrutiny Committee’s report, below:</w:t>
      </w:r>
    </w:p>
    <w:p w:rsidR="00C54396" w:rsidRPr="00643BD5" w:rsidRDefault="00C54396" w:rsidP="00C54396">
      <w:pPr>
        <w:jc w:val="left"/>
        <w:rPr>
          <w:rFonts w:cs="Arial"/>
          <w:sz w:val="24"/>
          <w:szCs w:val="24"/>
        </w:rPr>
      </w:pPr>
    </w:p>
    <w:p w:rsidR="00C54396" w:rsidRPr="007F58FC" w:rsidRDefault="00C54396" w:rsidP="00C54396">
      <w:pPr>
        <w:numPr>
          <w:ilvl w:val="0"/>
          <w:numId w:val="6"/>
        </w:numPr>
        <w:ind w:left="720"/>
        <w:rPr>
          <w:b/>
          <w:sz w:val="24"/>
          <w:szCs w:val="24"/>
        </w:rPr>
      </w:pPr>
      <w:r>
        <w:rPr>
          <w:sz w:val="24"/>
          <w:szCs w:val="24"/>
        </w:rPr>
        <w:t>That the proposed balanced General Fund revenue budget be supported, with the exception that the proposed reduction in the Parks Establishment be not included in the proposed budget and that amount of voluntary redundancies sought be increased to maintain a balanced General Fund.</w:t>
      </w:r>
    </w:p>
    <w:p w:rsidR="00C54396" w:rsidRPr="00E15A84" w:rsidRDefault="00C54396" w:rsidP="00C54396">
      <w:pPr>
        <w:rPr>
          <w:rFonts w:cs="Arial"/>
          <w:sz w:val="24"/>
          <w:szCs w:val="24"/>
        </w:rPr>
      </w:pPr>
    </w:p>
    <w:p w:rsidR="00C54396" w:rsidRPr="00643BD5" w:rsidRDefault="00C54396" w:rsidP="00C54396">
      <w:pPr>
        <w:ind w:left="720" w:hanging="720"/>
        <w:jc w:val="left"/>
        <w:rPr>
          <w:rFonts w:cs="Arial"/>
          <w:b/>
          <w:sz w:val="24"/>
          <w:szCs w:val="24"/>
        </w:rPr>
      </w:pPr>
      <w:r w:rsidRPr="00643BD5">
        <w:rPr>
          <w:rFonts w:cs="Arial"/>
          <w:b/>
          <w:sz w:val="24"/>
          <w:szCs w:val="24"/>
        </w:rPr>
        <w:t>RESPONSE –</w:t>
      </w:r>
    </w:p>
    <w:p w:rsidR="00C54396" w:rsidRPr="00643BD5" w:rsidRDefault="00C54396" w:rsidP="00C54396">
      <w:pPr>
        <w:ind w:left="720" w:hanging="720"/>
        <w:jc w:val="left"/>
        <w:rPr>
          <w:rFonts w:cs="Arial"/>
          <w:b/>
          <w:sz w:val="24"/>
          <w:szCs w:val="24"/>
        </w:rPr>
      </w:pPr>
    </w:p>
    <w:p w:rsidR="00C54396" w:rsidRDefault="00C54396" w:rsidP="00C54396">
      <w:pPr>
        <w:jc w:val="left"/>
      </w:pPr>
      <w:r w:rsidRPr="00643BD5">
        <w:rPr>
          <w:rFonts w:cs="Arial"/>
          <w:b/>
          <w:sz w:val="24"/>
          <w:szCs w:val="24"/>
        </w:rPr>
        <w:t>The Cabinet supports this recommendation. This will be reflected in the final budget which will be presented to Council. We thank Overview and Scrutiny for their comments.</w:t>
      </w:r>
    </w:p>
    <w:p w:rsidR="00C54396" w:rsidRDefault="00C54396" w:rsidP="00C54396">
      <w:pPr>
        <w:jc w:val="left"/>
        <w:rPr>
          <w:rFonts w:cs="Arial"/>
          <w:b/>
          <w:color w:val="000000" w:themeColor="text1"/>
          <w:sz w:val="24"/>
          <w:szCs w:val="24"/>
        </w:rPr>
      </w:pPr>
    </w:p>
    <w:p w:rsidR="00C54396" w:rsidRDefault="00C54396" w:rsidP="00C54396">
      <w:pPr>
        <w:jc w:val="left"/>
        <w:rPr>
          <w:rFonts w:cs="Arial"/>
          <w:b/>
          <w:color w:val="000000" w:themeColor="text1"/>
          <w:sz w:val="24"/>
          <w:szCs w:val="24"/>
        </w:rPr>
      </w:pPr>
    </w:p>
    <w:p w:rsidR="00C54396" w:rsidRPr="00182DDD" w:rsidRDefault="00C54396" w:rsidP="00C54396">
      <w:pPr>
        <w:rPr>
          <w:b/>
          <w:sz w:val="24"/>
          <w:szCs w:val="24"/>
        </w:rPr>
      </w:pPr>
      <w:r>
        <w:rPr>
          <w:sz w:val="24"/>
          <w:szCs w:val="24"/>
        </w:rPr>
        <w:t>(ii)</w:t>
      </w:r>
      <w:r>
        <w:rPr>
          <w:sz w:val="24"/>
          <w:szCs w:val="24"/>
        </w:rPr>
        <w:tab/>
      </w:r>
      <w:r w:rsidRPr="00182DDD">
        <w:rPr>
          <w:sz w:val="24"/>
          <w:szCs w:val="24"/>
        </w:rPr>
        <w:t>That the proposed Housing Revenue Account revenue budget be supported.</w:t>
      </w:r>
    </w:p>
    <w:p w:rsidR="00C54396" w:rsidRDefault="00C54396" w:rsidP="00C54396">
      <w:pPr>
        <w:jc w:val="left"/>
      </w:pPr>
    </w:p>
    <w:p w:rsidR="00C54396" w:rsidRDefault="00C54396" w:rsidP="00C54396">
      <w:pPr>
        <w:jc w:val="left"/>
      </w:pPr>
      <w:r w:rsidRPr="00643BD5">
        <w:rPr>
          <w:rFonts w:cs="Arial"/>
          <w:b/>
          <w:sz w:val="24"/>
          <w:szCs w:val="24"/>
        </w:rPr>
        <w:t>The Cabinet supports this recommendation. This will be reflected in the final budget which will be presented to Council. We thank Overview and Scrutiny for their comments.</w:t>
      </w:r>
    </w:p>
    <w:p w:rsidR="00C54396" w:rsidRDefault="00C54396" w:rsidP="00C54396">
      <w:pPr>
        <w:pStyle w:val="ListParagraph"/>
      </w:pPr>
    </w:p>
    <w:p w:rsidR="00C54396" w:rsidRDefault="00C54396" w:rsidP="00C54396">
      <w:pPr>
        <w:pStyle w:val="ListParagraph"/>
      </w:pPr>
    </w:p>
    <w:p w:rsidR="00C54396" w:rsidRPr="007F58FC" w:rsidRDefault="00C54396" w:rsidP="00C54396">
      <w:pPr>
        <w:ind w:left="720" w:hanging="720"/>
        <w:rPr>
          <w:b/>
          <w:sz w:val="24"/>
          <w:szCs w:val="24"/>
        </w:rPr>
      </w:pPr>
      <w:r>
        <w:rPr>
          <w:sz w:val="24"/>
          <w:szCs w:val="24"/>
        </w:rPr>
        <w:t>(iii)</w:t>
      </w:r>
      <w:r>
        <w:rPr>
          <w:sz w:val="24"/>
          <w:szCs w:val="24"/>
        </w:rPr>
        <w:tab/>
        <w:t>That the absence of an increase, in the Executive’s proposals, in the authority’s element of Council Tax for 2023/24, be supported.</w:t>
      </w:r>
    </w:p>
    <w:p w:rsidR="00C54396" w:rsidRDefault="00C54396" w:rsidP="00C54396">
      <w:pPr>
        <w:jc w:val="left"/>
      </w:pPr>
    </w:p>
    <w:p w:rsidR="00C54396" w:rsidRPr="00643BD5" w:rsidRDefault="00C54396" w:rsidP="00C54396">
      <w:pPr>
        <w:ind w:left="720" w:hanging="720"/>
        <w:jc w:val="left"/>
        <w:rPr>
          <w:rFonts w:cs="Arial"/>
          <w:b/>
          <w:sz w:val="24"/>
          <w:szCs w:val="24"/>
        </w:rPr>
      </w:pPr>
      <w:r w:rsidRPr="00643BD5">
        <w:rPr>
          <w:rFonts w:cs="Arial"/>
          <w:b/>
          <w:sz w:val="24"/>
          <w:szCs w:val="24"/>
        </w:rPr>
        <w:t xml:space="preserve">RESPONSE – </w:t>
      </w:r>
    </w:p>
    <w:p w:rsidR="00C54396" w:rsidRPr="00643BD5" w:rsidRDefault="00C54396" w:rsidP="00C54396">
      <w:pPr>
        <w:rPr>
          <w:rFonts w:cs="Arial"/>
          <w:sz w:val="24"/>
          <w:szCs w:val="24"/>
        </w:rPr>
      </w:pPr>
    </w:p>
    <w:p w:rsidR="00C54396" w:rsidRPr="000A4CDA" w:rsidRDefault="00C54396" w:rsidP="00C54396">
      <w:pPr>
        <w:jc w:val="left"/>
        <w:rPr>
          <w:rFonts w:cs="Arial"/>
          <w:b/>
          <w:sz w:val="24"/>
          <w:szCs w:val="24"/>
        </w:rPr>
      </w:pPr>
      <w:r w:rsidRPr="00643BD5">
        <w:rPr>
          <w:rFonts w:cs="Arial"/>
          <w:b/>
          <w:sz w:val="24"/>
          <w:szCs w:val="24"/>
        </w:rPr>
        <w:t>The Cabinet supports this recommendation. This will be reflected in the final budget which will be presented to Council. We thank Overview and Scrutiny for their comments.</w:t>
      </w:r>
    </w:p>
    <w:p w:rsidR="00C54396" w:rsidRDefault="00C54396" w:rsidP="00C54396">
      <w:pPr>
        <w:pStyle w:val="ListParagraph"/>
      </w:pPr>
    </w:p>
    <w:p w:rsidR="00C54396" w:rsidRDefault="00C54396" w:rsidP="00C54396">
      <w:pPr>
        <w:pStyle w:val="ListParagraph"/>
      </w:pPr>
    </w:p>
    <w:p w:rsidR="00C54396" w:rsidRPr="007F58FC" w:rsidRDefault="00C54396" w:rsidP="00C54396">
      <w:pPr>
        <w:ind w:left="720" w:hanging="720"/>
        <w:rPr>
          <w:b/>
          <w:sz w:val="24"/>
          <w:szCs w:val="24"/>
        </w:rPr>
      </w:pPr>
      <w:proofErr w:type="gramStart"/>
      <w:r>
        <w:rPr>
          <w:sz w:val="24"/>
          <w:szCs w:val="24"/>
        </w:rPr>
        <w:t>(iv)</w:t>
      </w:r>
      <w:r>
        <w:rPr>
          <w:sz w:val="24"/>
          <w:szCs w:val="24"/>
        </w:rPr>
        <w:tab/>
        <w:t>That</w:t>
      </w:r>
      <w:proofErr w:type="gramEnd"/>
      <w:r>
        <w:rPr>
          <w:sz w:val="24"/>
          <w:szCs w:val="24"/>
        </w:rPr>
        <w:t xml:space="preserve"> the principles for determining the authority’s fees and charges for 2023/24 be approved.</w:t>
      </w:r>
    </w:p>
    <w:p w:rsidR="00C54396" w:rsidRDefault="00C54396" w:rsidP="00C54396">
      <w:pPr>
        <w:pStyle w:val="ListParagraph"/>
      </w:pPr>
    </w:p>
    <w:p w:rsidR="00C54396" w:rsidRPr="00643BD5" w:rsidRDefault="00C54396" w:rsidP="00C54396">
      <w:pPr>
        <w:ind w:left="720" w:hanging="720"/>
        <w:jc w:val="left"/>
        <w:rPr>
          <w:rFonts w:cs="Arial"/>
          <w:b/>
          <w:sz w:val="24"/>
          <w:szCs w:val="24"/>
        </w:rPr>
      </w:pPr>
      <w:r w:rsidRPr="00643BD5">
        <w:rPr>
          <w:rFonts w:cs="Arial"/>
          <w:b/>
          <w:sz w:val="24"/>
          <w:szCs w:val="24"/>
        </w:rPr>
        <w:t>RESPONSE –</w:t>
      </w:r>
    </w:p>
    <w:p w:rsidR="00C54396" w:rsidRPr="00643BD5" w:rsidRDefault="00C54396" w:rsidP="00C54396">
      <w:pPr>
        <w:ind w:left="720" w:hanging="720"/>
        <w:jc w:val="left"/>
        <w:rPr>
          <w:rFonts w:cs="Arial"/>
          <w:b/>
          <w:sz w:val="24"/>
          <w:szCs w:val="24"/>
        </w:rPr>
      </w:pPr>
    </w:p>
    <w:p w:rsidR="00C54396" w:rsidRDefault="00C54396" w:rsidP="00C54396">
      <w:pPr>
        <w:jc w:val="left"/>
      </w:pPr>
      <w:r w:rsidRPr="00643BD5">
        <w:rPr>
          <w:rFonts w:cs="Arial"/>
          <w:b/>
          <w:sz w:val="24"/>
          <w:szCs w:val="24"/>
        </w:rPr>
        <w:t>The Cabinet supports this recommendation. This will be reflected in the final budget which will be presented to Council. We thank Overview and Scrutiny for their comments.</w:t>
      </w:r>
    </w:p>
    <w:p w:rsidR="00C54396" w:rsidRDefault="00C54396" w:rsidP="00C54396">
      <w:pPr>
        <w:pStyle w:val="ListParagraph"/>
      </w:pPr>
    </w:p>
    <w:p w:rsidR="00C54396" w:rsidRDefault="00C54396" w:rsidP="00C54396">
      <w:pPr>
        <w:pStyle w:val="ListParagraph"/>
      </w:pPr>
    </w:p>
    <w:p w:rsidR="00C54396" w:rsidRPr="00C56609" w:rsidRDefault="00C54396" w:rsidP="00C54396">
      <w:pPr>
        <w:ind w:left="720" w:hanging="720"/>
        <w:rPr>
          <w:b/>
          <w:sz w:val="24"/>
          <w:szCs w:val="24"/>
        </w:rPr>
      </w:pPr>
      <w:r>
        <w:rPr>
          <w:sz w:val="24"/>
          <w:szCs w:val="24"/>
        </w:rPr>
        <w:t>(v)</w:t>
      </w:r>
      <w:r>
        <w:rPr>
          <w:sz w:val="24"/>
          <w:szCs w:val="24"/>
        </w:rPr>
        <w:tab/>
        <w:t>That the consolidated capital programme for General Fund and Housing Revenue Account be supported.</w:t>
      </w:r>
    </w:p>
    <w:p w:rsidR="00C54396" w:rsidRDefault="00C54396" w:rsidP="00C54396">
      <w:pPr>
        <w:jc w:val="left"/>
      </w:pPr>
    </w:p>
    <w:p w:rsidR="00C54396" w:rsidRDefault="00C54396" w:rsidP="00C54396">
      <w:pPr>
        <w:ind w:left="720" w:hanging="720"/>
        <w:jc w:val="left"/>
        <w:rPr>
          <w:rFonts w:cs="Arial"/>
          <w:b/>
          <w:sz w:val="24"/>
          <w:szCs w:val="24"/>
        </w:rPr>
      </w:pPr>
      <w:r w:rsidRPr="00643BD5">
        <w:rPr>
          <w:rFonts w:cs="Arial"/>
          <w:b/>
          <w:sz w:val="24"/>
          <w:szCs w:val="24"/>
        </w:rPr>
        <w:t>RESPONSE –</w:t>
      </w:r>
    </w:p>
    <w:p w:rsidR="00C54396" w:rsidRDefault="00C54396" w:rsidP="00C54396">
      <w:pPr>
        <w:ind w:left="720" w:hanging="720"/>
        <w:jc w:val="left"/>
        <w:rPr>
          <w:rFonts w:cs="Arial"/>
          <w:b/>
          <w:sz w:val="24"/>
          <w:szCs w:val="24"/>
        </w:rPr>
      </w:pPr>
    </w:p>
    <w:p w:rsidR="00C54396" w:rsidRDefault="00C54396" w:rsidP="00C54396">
      <w:pPr>
        <w:jc w:val="left"/>
      </w:pPr>
      <w:r w:rsidRPr="00643BD5">
        <w:rPr>
          <w:rFonts w:cs="Arial"/>
          <w:b/>
          <w:sz w:val="24"/>
          <w:szCs w:val="24"/>
        </w:rPr>
        <w:t>The Cabinet supports this recommendation. This will be reflected in the final budget which will be presented to Council. We thank Overview and Scrutiny for their comments.</w:t>
      </w:r>
    </w:p>
    <w:p w:rsidR="00C54396" w:rsidRDefault="00C54396" w:rsidP="00C54396">
      <w:pPr>
        <w:pStyle w:val="ListParagraph"/>
      </w:pPr>
    </w:p>
    <w:p w:rsidR="00C54396" w:rsidRDefault="00C54396" w:rsidP="00C54396">
      <w:pPr>
        <w:pStyle w:val="ListParagraph"/>
      </w:pPr>
    </w:p>
    <w:p w:rsidR="00C54396" w:rsidRPr="0070622A" w:rsidRDefault="00C54396" w:rsidP="00C54396">
      <w:pPr>
        <w:ind w:left="720" w:hanging="720"/>
        <w:rPr>
          <w:b/>
          <w:sz w:val="24"/>
          <w:szCs w:val="24"/>
        </w:rPr>
      </w:pPr>
      <w:proofErr w:type="gramStart"/>
      <w:r>
        <w:rPr>
          <w:sz w:val="24"/>
          <w:szCs w:val="24"/>
        </w:rPr>
        <w:t>(vi)</w:t>
      </w:r>
      <w:r>
        <w:rPr>
          <w:sz w:val="24"/>
          <w:szCs w:val="24"/>
        </w:rPr>
        <w:tab/>
        <w:t>That</w:t>
      </w:r>
      <w:proofErr w:type="gramEnd"/>
      <w:r>
        <w:rPr>
          <w:sz w:val="24"/>
          <w:szCs w:val="24"/>
        </w:rPr>
        <w:t xml:space="preserve"> the Executive respond to the Committee’s concerns regarding the </w:t>
      </w:r>
      <w:proofErr w:type="spellStart"/>
      <w:r>
        <w:rPr>
          <w:sz w:val="24"/>
          <w:szCs w:val="24"/>
        </w:rPr>
        <w:t>Warsop</w:t>
      </w:r>
      <w:proofErr w:type="spellEnd"/>
      <w:r>
        <w:rPr>
          <w:sz w:val="24"/>
          <w:szCs w:val="24"/>
        </w:rPr>
        <w:t xml:space="preserve"> Health Hub, including the future sustainability of the proposed Hub.</w:t>
      </w:r>
    </w:p>
    <w:p w:rsidR="00C54396" w:rsidRDefault="00C54396" w:rsidP="00C54396">
      <w:pPr>
        <w:pStyle w:val="ListParagraph"/>
      </w:pPr>
    </w:p>
    <w:p w:rsidR="00C54396" w:rsidRDefault="00C54396" w:rsidP="00C54396">
      <w:pPr>
        <w:rPr>
          <w:rFonts w:cs="Arial"/>
          <w:b/>
          <w:sz w:val="24"/>
          <w:szCs w:val="24"/>
        </w:rPr>
      </w:pPr>
      <w:r w:rsidRPr="00643BD5">
        <w:rPr>
          <w:rFonts w:cs="Arial"/>
          <w:b/>
          <w:sz w:val="24"/>
          <w:szCs w:val="24"/>
        </w:rPr>
        <w:t xml:space="preserve">RESPONSE – </w:t>
      </w:r>
    </w:p>
    <w:p w:rsidR="00C54396" w:rsidRPr="00643BD5" w:rsidRDefault="00C54396" w:rsidP="00C54396">
      <w:pPr>
        <w:rPr>
          <w:rFonts w:cs="Arial"/>
          <w:sz w:val="24"/>
          <w:szCs w:val="24"/>
        </w:rPr>
      </w:pPr>
    </w:p>
    <w:p w:rsidR="00C54396" w:rsidRPr="000A4CDA" w:rsidRDefault="00C54396" w:rsidP="00C54396">
      <w:pPr>
        <w:rPr>
          <w:rFonts w:cs="Arial"/>
          <w:sz w:val="24"/>
          <w:szCs w:val="24"/>
        </w:rPr>
      </w:pPr>
      <w:r w:rsidRPr="00472124">
        <w:rPr>
          <w:rFonts w:cs="Arial"/>
          <w:b/>
          <w:sz w:val="24"/>
          <w:szCs w:val="24"/>
        </w:rPr>
        <w:t>The revenue</w:t>
      </w:r>
      <w:r>
        <w:rPr>
          <w:rFonts w:cs="Arial"/>
          <w:b/>
          <w:sz w:val="24"/>
          <w:szCs w:val="24"/>
        </w:rPr>
        <w:t xml:space="preserve"> and capital implications of the </w:t>
      </w:r>
      <w:proofErr w:type="spellStart"/>
      <w:r>
        <w:rPr>
          <w:rFonts w:cs="Arial"/>
          <w:b/>
          <w:sz w:val="24"/>
          <w:szCs w:val="24"/>
        </w:rPr>
        <w:t>Warsop</w:t>
      </w:r>
      <w:proofErr w:type="spellEnd"/>
      <w:r>
        <w:rPr>
          <w:rFonts w:cs="Arial"/>
          <w:b/>
          <w:sz w:val="24"/>
          <w:szCs w:val="24"/>
        </w:rPr>
        <w:t xml:space="preserve"> Health Hub were discussed at the </w:t>
      </w:r>
      <w:proofErr w:type="spellStart"/>
      <w:r>
        <w:rPr>
          <w:rFonts w:cs="Arial"/>
          <w:b/>
          <w:sz w:val="24"/>
          <w:szCs w:val="24"/>
        </w:rPr>
        <w:t>Warsop</w:t>
      </w:r>
      <w:proofErr w:type="spellEnd"/>
      <w:r>
        <w:rPr>
          <w:rFonts w:cs="Arial"/>
          <w:b/>
          <w:sz w:val="24"/>
          <w:szCs w:val="24"/>
        </w:rPr>
        <w:t xml:space="preserve"> Health Hub working group on 12</w:t>
      </w:r>
      <w:r w:rsidRPr="0076690F">
        <w:rPr>
          <w:rFonts w:cs="Arial"/>
          <w:b/>
          <w:sz w:val="24"/>
          <w:szCs w:val="24"/>
          <w:vertAlign w:val="superscript"/>
        </w:rPr>
        <w:t>th</w:t>
      </w:r>
      <w:r>
        <w:rPr>
          <w:rFonts w:cs="Arial"/>
          <w:b/>
          <w:sz w:val="24"/>
          <w:szCs w:val="24"/>
        </w:rPr>
        <w:t xml:space="preserve"> December 2022, therefore Member concerns were responded to at that meeting.  </w:t>
      </w:r>
    </w:p>
    <w:p w:rsidR="00C54396" w:rsidRPr="000A4CDA" w:rsidRDefault="00C54396" w:rsidP="00C54396">
      <w:pPr>
        <w:rPr>
          <w:rFonts w:cs="Arial"/>
          <w:b/>
          <w:sz w:val="24"/>
          <w:szCs w:val="24"/>
          <w:u w:val="single"/>
        </w:rPr>
      </w:pPr>
    </w:p>
    <w:p w:rsidR="00C54396" w:rsidRDefault="00C54396" w:rsidP="00C54396">
      <w:pPr>
        <w:rPr>
          <w:rFonts w:cs="Arial"/>
          <w:b/>
          <w:sz w:val="24"/>
          <w:szCs w:val="24"/>
          <w:u w:val="single"/>
        </w:rPr>
      </w:pPr>
    </w:p>
    <w:p w:rsidR="00C54396" w:rsidRPr="00643BD5" w:rsidRDefault="00C54396" w:rsidP="00C54396">
      <w:pPr>
        <w:rPr>
          <w:rFonts w:cs="Arial"/>
          <w:sz w:val="24"/>
          <w:szCs w:val="24"/>
        </w:rPr>
      </w:pPr>
      <w:r>
        <w:rPr>
          <w:rFonts w:cs="Arial"/>
          <w:b/>
          <w:sz w:val="24"/>
          <w:szCs w:val="24"/>
          <w:u w:val="single"/>
        </w:rPr>
        <w:t>Service Investment</w:t>
      </w:r>
      <w:r>
        <w:rPr>
          <w:rFonts w:cs="Arial"/>
          <w:sz w:val="24"/>
          <w:szCs w:val="24"/>
        </w:rPr>
        <w:tab/>
      </w:r>
    </w:p>
    <w:p w:rsidR="00C54396" w:rsidRPr="00F22C8C" w:rsidRDefault="00C54396" w:rsidP="00C54396">
      <w:pPr>
        <w:rPr>
          <w:rFonts w:cs="Arial"/>
          <w:sz w:val="24"/>
          <w:szCs w:val="24"/>
        </w:rPr>
      </w:pPr>
    </w:p>
    <w:p w:rsidR="00C54396" w:rsidRPr="00F22C8C" w:rsidRDefault="00C54396" w:rsidP="00C54396">
      <w:pPr>
        <w:rPr>
          <w:rFonts w:cs="Arial"/>
          <w:sz w:val="24"/>
          <w:szCs w:val="24"/>
        </w:rPr>
      </w:pPr>
      <w:r w:rsidRPr="00F22C8C">
        <w:rPr>
          <w:rFonts w:cs="Arial"/>
          <w:sz w:val="24"/>
          <w:szCs w:val="24"/>
        </w:rPr>
        <w:t>The Cabinet requests the Overview and Scrutiny Committee revie</w:t>
      </w:r>
      <w:r>
        <w:rPr>
          <w:rFonts w:cs="Arial"/>
          <w:sz w:val="24"/>
          <w:szCs w:val="24"/>
        </w:rPr>
        <w:t>w the following proposed service investment following confirmation of 2023/24</w:t>
      </w:r>
      <w:r w:rsidRPr="00F22C8C">
        <w:rPr>
          <w:rFonts w:cs="Arial"/>
          <w:sz w:val="24"/>
          <w:szCs w:val="24"/>
        </w:rPr>
        <w:t xml:space="preserve"> Government Grant as shown in Appendix</w:t>
      </w:r>
      <w:r>
        <w:rPr>
          <w:rFonts w:cs="Arial"/>
          <w:sz w:val="24"/>
          <w:szCs w:val="24"/>
        </w:rPr>
        <w:t xml:space="preserve"> </w:t>
      </w:r>
      <w:r w:rsidRPr="00F22C8C">
        <w:rPr>
          <w:rFonts w:cs="Arial"/>
          <w:sz w:val="24"/>
          <w:szCs w:val="24"/>
        </w:rPr>
        <w:t xml:space="preserve">2 and summarised below. </w:t>
      </w:r>
    </w:p>
    <w:p w:rsidR="00C54396" w:rsidRPr="003F65F7" w:rsidRDefault="00C54396" w:rsidP="00C54396">
      <w:pPr>
        <w:rPr>
          <w:rFonts w:cs="Arial"/>
          <w:b/>
          <w:sz w:val="24"/>
          <w:szCs w:val="24"/>
        </w:rPr>
      </w:pPr>
    </w:p>
    <w:p w:rsidR="00C54396" w:rsidRDefault="00C54396" w:rsidP="00C54396">
      <w:pPr>
        <w:rPr>
          <w:rFonts w:cs="Arial"/>
          <w:b/>
          <w:sz w:val="24"/>
          <w:szCs w:val="24"/>
        </w:rPr>
      </w:pPr>
    </w:p>
    <w:p w:rsidR="00C54396" w:rsidRPr="003F65F7" w:rsidRDefault="00C54396" w:rsidP="00C54396">
      <w:pPr>
        <w:rPr>
          <w:rFonts w:cs="Arial"/>
          <w:b/>
          <w:sz w:val="24"/>
          <w:szCs w:val="24"/>
        </w:rPr>
      </w:pPr>
      <w:r>
        <w:rPr>
          <w:rFonts w:cs="Arial"/>
          <w:b/>
          <w:sz w:val="24"/>
          <w:szCs w:val="24"/>
        </w:rPr>
        <w:t>(a</w:t>
      </w:r>
      <w:r w:rsidRPr="003F65F7">
        <w:rPr>
          <w:rFonts w:cs="Arial"/>
          <w:b/>
          <w:sz w:val="24"/>
          <w:szCs w:val="24"/>
        </w:rPr>
        <w:t>)</w:t>
      </w:r>
      <w:r w:rsidRPr="003F65F7">
        <w:rPr>
          <w:rFonts w:cs="Arial"/>
          <w:b/>
          <w:sz w:val="24"/>
          <w:szCs w:val="24"/>
        </w:rPr>
        <w:tab/>
        <w:t xml:space="preserve"> Economic Stimulus</w:t>
      </w:r>
    </w:p>
    <w:p w:rsidR="00C54396" w:rsidRPr="00643BD5" w:rsidRDefault="00C54396" w:rsidP="00C54396">
      <w:pPr>
        <w:rPr>
          <w:rFonts w:cs="Arial"/>
          <w:sz w:val="24"/>
          <w:szCs w:val="24"/>
        </w:rPr>
      </w:pPr>
    </w:p>
    <w:p w:rsidR="00C54396" w:rsidRPr="00643BD5" w:rsidRDefault="00C54396" w:rsidP="00C54396">
      <w:pPr>
        <w:rPr>
          <w:rFonts w:cs="Arial"/>
          <w:sz w:val="24"/>
          <w:szCs w:val="24"/>
        </w:rPr>
      </w:pPr>
      <w:r>
        <w:rPr>
          <w:rFonts w:cs="Arial"/>
          <w:sz w:val="24"/>
          <w:szCs w:val="24"/>
        </w:rPr>
        <w:t>The Cabinet proposes that £25</w:t>
      </w:r>
      <w:r w:rsidRPr="00643BD5">
        <w:rPr>
          <w:rFonts w:cs="Arial"/>
          <w:sz w:val="24"/>
          <w:szCs w:val="24"/>
        </w:rPr>
        <w:t>k be allocated to Economic Stimulus</w:t>
      </w:r>
      <w:r>
        <w:rPr>
          <w:rFonts w:cs="Arial"/>
          <w:sz w:val="24"/>
          <w:szCs w:val="24"/>
        </w:rPr>
        <w:t xml:space="preserve"> Fund</w:t>
      </w:r>
      <w:r w:rsidRPr="00643BD5">
        <w:rPr>
          <w:rFonts w:cs="Arial"/>
          <w:sz w:val="24"/>
          <w:szCs w:val="24"/>
        </w:rPr>
        <w:t xml:space="preserve"> in </w:t>
      </w:r>
      <w:r>
        <w:rPr>
          <w:rFonts w:cs="Arial"/>
          <w:sz w:val="24"/>
          <w:szCs w:val="24"/>
        </w:rPr>
        <w:t xml:space="preserve">the </w:t>
      </w:r>
      <w:r w:rsidRPr="00643BD5">
        <w:rPr>
          <w:rFonts w:cs="Arial"/>
          <w:sz w:val="24"/>
          <w:szCs w:val="24"/>
        </w:rPr>
        <w:t>202</w:t>
      </w:r>
      <w:r>
        <w:rPr>
          <w:rFonts w:cs="Arial"/>
          <w:sz w:val="24"/>
          <w:szCs w:val="24"/>
        </w:rPr>
        <w:t xml:space="preserve">3/24 </w:t>
      </w:r>
      <w:r w:rsidRPr="00643BD5">
        <w:rPr>
          <w:rFonts w:cs="Arial"/>
          <w:sz w:val="24"/>
          <w:szCs w:val="24"/>
        </w:rPr>
        <w:t>budget.</w:t>
      </w:r>
    </w:p>
    <w:p w:rsidR="00C54396" w:rsidRDefault="00C54396" w:rsidP="00C54396">
      <w:pPr>
        <w:jc w:val="left"/>
        <w:rPr>
          <w:rFonts w:cs="Arial"/>
          <w:sz w:val="24"/>
          <w:szCs w:val="24"/>
        </w:rPr>
      </w:pPr>
    </w:p>
    <w:p w:rsidR="00C54396" w:rsidRPr="00643BD5" w:rsidRDefault="00C54396" w:rsidP="00C54396">
      <w:pPr>
        <w:jc w:val="left"/>
        <w:rPr>
          <w:rFonts w:cs="Arial"/>
          <w:sz w:val="24"/>
          <w:szCs w:val="24"/>
        </w:rPr>
      </w:pPr>
    </w:p>
    <w:p w:rsidR="00C54396" w:rsidRPr="000E086C" w:rsidRDefault="00C54396" w:rsidP="00C54396">
      <w:pPr>
        <w:jc w:val="left"/>
        <w:rPr>
          <w:rFonts w:cs="Arial"/>
          <w:b/>
          <w:sz w:val="24"/>
          <w:szCs w:val="24"/>
        </w:rPr>
      </w:pPr>
      <w:r>
        <w:rPr>
          <w:rFonts w:cs="Arial"/>
          <w:b/>
          <w:sz w:val="24"/>
          <w:szCs w:val="24"/>
        </w:rPr>
        <w:t>Additional Item</w:t>
      </w:r>
      <w:r w:rsidRPr="000E086C">
        <w:rPr>
          <w:rFonts w:cs="Arial"/>
          <w:b/>
          <w:sz w:val="24"/>
          <w:szCs w:val="24"/>
        </w:rPr>
        <w:t xml:space="preserve"> for Members to note</w:t>
      </w:r>
    </w:p>
    <w:p w:rsidR="00C54396" w:rsidRDefault="00C54396" w:rsidP="00C54396">
      <w:pPr>
        <w:jc w:val="left"/>
        <w:rPr>
          <w:rFonts w:cs="Arial"/>
          <w:sz w:val="24"/>
          <w:szCs w:val="24"/>
        </w:rPr>
      </w:pPr>
    </w:p>
    <w:p w:rsidR="00C54396" w:rsidRDefault="00C54396" w:rsidP="00C54396">
      <w:pPr>
        <w:jc w:val="left"/>
        <w:rPr>
          <w:rFonts w:cs="Arial"/>
          <w:sz w:val="24"/>
          <w:szCs w:val="24"/>
        </w:rPr>
      </w:pPr>
      <w:r>
        <w:rPr>
          <w:rFonts w:cs="Arial"/>
          <w:sz w:val="24"/>
          <w:szCs w:val="24"/>
        </w:rPr>
        <w:t>Cabinet have proposed a 10% reduction in Special Responsibility Allowances, as in previous budget-setting cycles. This reduction comes to £16k for 2023/24.</w:t>
      </w:r>
    </w:p>
    <w:p w:rsidR="00C54396" w:rsidRPr="00643BD5" w:rsidRDefault="00C54396" w:rsidP="00C54396">
      <w:pPr>
        <w:jc w:val="left"/>
        <w:rPr>
          <w:rFonts w:cs="Arial"/>
          <w:sz w:val="24"/>
          <w:szCs w:val="24"/>
        </w:rPr>
      </w:pPr>
    </w:p>
    <w:p w:rsidR="00C54396" w:rsidRPr="00643BD5" w:rsidRDefault="00C54396" w:rsidP="00C54396">
      <w:pPr>
        <w:rPr>
          <w:rFonts w:cs="Arial"/>
          <w:sz w:val="24"/>
          <w:szCs w:val="24"/>
        </w:rPr>
      </w:pPr>
      <w:r w:rsidRPr="00643BD5">
        <w:rPr>
          <w:rFonts w:cs="Arial"/>
          <w:b/>
          <w:sz w:val="24"/>
          <w:szCs w:val="24"/>
        </w:rPr>
        <w:t>The table shown in Appendix 2 summar</w:t>
      </w:r>
      <w:r>
        <w:rPr>
          <w:rFonts w:cs="Arial"/>
          <w:b/>
          <w:sz w:val="24"/>
          <w:szCs w:val="24"/>
        </w:rPr>
        <w:t>ises</w:t>
      </w:r>
      <w:r w:rsidRPr="00643BD5">
        <w:rPr>
          <w:rFonts w:cs="Arial"/>
          <w:b/>
          <w:sz w:val="24"/>
          <w:szCs w:val="24"/>
        </w:rPr>
        <w:t xml:space="preserve"> Cabinet</w:t>
      </w:r>
      <w:r>
        <w:rPr>
          <w:rFonts w:cs="Arial"/>
          <w:b/>
          <w:sz w:val="24"/>
          <w:szCs w:val="24"/>
        </w:rPr>
        <w:t>’</w:t>
      </w:r>
      <w:r w:rsidRPr="00643BD5">
        <w:rPr>
          <w:rFonts w:cs="Arial"/>
          <w:b/>
          <w:sz w:val="24"/>
          <w:szCs w:val="24"/>
        </w:rPr>
        <w:t>s pr</w:t>
      </w:r>
      <w:r>
        <w:rPr>
          <w:rFonts w:cs="Arial"/>
          <w:b/>
          <w:sz w:val="24"/>
          <w:szCs w:val="24"/>
        </w:rPr>
        <w:t>oposed budget for 2023/24.</w:t>
      </w:r>
      <w:r w:rsidRPr="00643BD5">
        <w:rPr>
          <w:rFonts w:cs="Arial"/>
          <w:sz w:val="24"/>
          <w:szCs w:val="24"/>
        </w:rPr>
        <w:t xml:space="preserve"> </w:t>
      </w:r>
    </w:p>
    <w:p w:rsidR="00C54396" w:rsidRPr="00643BD5" w:rsidRDefault="00C54396" w:rsidP="00C54396">
      <w:pPr>
        <w:jc w:val="left"/>
        <w:rPr>
          <w:rFonts w:cs="Arial"/>
          <w:sz w:val="24"/>
          <w:szCs w:val="24"/>
        </w:rPr>
      </w:pPr>
    </w:p>
    <w:p w:rsidR="00C54396" w:rsidRPr="00643BD5" w:rsidRDefault="00C54396" w:rsidP="00C54396">
      <w:pPr>
        <w:rPr>
          <w:rFonts w:cs="Arial"/>
          <w:sz w:val="24"/>
          <w:szCs w:val="24"/>
        </w:rPr>
      </w:pPr>
      <w:r w:rsidRPr="00643BD5">
        <w:rPr>
          <w:rFonts w:cs="Arial"/>
          <w:b/>
          <w:sz w:val="24"/>
          <w:szCs w:val="24"/>
        </w:rPr>
        <w:t>4.</w:t>
      </w:r>
      <w:r w:rsidRPr="00643BD5">
        <w:rPr>
          <w:rFonts w:cs="Arial"/>
          <w:b/>
          <w:sz w:val="24"/>
          <w:szCs w:val="24"/>
        </w:rPr>
        <w:tab/>
        <w:t>COMMENTS OF STATUTORY OFFICERS</w:t>
      </w:r>
    </w:p>
    <w:p w:rsidR="00C54396" w:rsidRPr="00643BD5" w:rsidRDefault="00C54396" w:rsidP="00C54396">
      <w:pPr>
        <w:rPr>
          <w:rFonts w:cs="Arial"/>
          <w:sz w:val="24"/>
          <w:szCs w:val="24"/>
        </w:rPr>
      </w:pPr>
    </w:p>
    <w:p w:rsidR="00C54396" w:rsidRPr="00216B43" w:rsidRDefault="00C54396" w:rsidP="00C54396">
      <w:pPr>
        <w:ind w:left="720" w:hanging="720"/>
        <w:rPr>
          <w:rFonts w:ascii="Calibri" w:hAnsi="Calibri"/>
          <w:sz w:val="24"/>
          <w:szCs w:val="24"/>
        </w:rPr>
      </w:pPr>
      <w:r w:rsidRPr="00643BD5">
        <w:rPr>
          <w:rFonts w:cs="Arial"/>
          <w:sz w:val="24"/>
          <w:szCs w:val="24"/>
        </w:rPr>
        <w:t>(a)</w:t>
      </w:r>
      <w:r w:rsidRPr="00643BD5">
        <w:rPr>
          <w:rFonts w:cs="Arial"/>
          <w:sz w:val="24"/>
          <w:szCs w:val="24"/>
        </w:rPr>
        <w:tab/>
        <w:t>Head of Paid Service –</w:t>
      </w:r>
      <w:r>
        <w:rPr>
          <w:rFonts w:cs="Arial"/>
          <w:sz w:val="24"/>
          <w:szCs w:val="24"/>
        </w:rPr>
        <w:t xml:space="preserve"> </w:t>
      </w:r>
      <w:r w:rsidRPr="00216B43">
        <w:rPr>
          <w:sz w:val="24"/>
          <w:szCs w:val="24"/>
        </w:rPr>
        <w:t>It is importan</w:t>
      </w:r>
      <w:r>
        <w:rPr>
          <w:sz w:val="24"/>
          <w:szCs w:val="24"/>
        </w:rPr>
        <w:t>t for members to consider the 23/24</w:t>
      </w:r>
      <w:r w:rsidRPr="00216B43">
        <w:rPr>
          <w:sz w:val="24"/>
          <w:szCs w:val="24"/>
        </w:rPr>
        <w:t xml:space="preserve"> Overview and Scrutiny’s </w:t>
      </w:r>
      <w:r>
        <w:rPr>
          <w:sz w:val="24"/>
          <w:szCs w:val="24"/>
        </w:rPr>
        <w:t xml:space="preserve">comments and </w:t>
      </w:r>
      <w:r w:rsidRPr="00216B43">
        <w:rPr>
          <w:sz w:val="24"/>
          <w:szCs w:val="24"/>
        </w:rPr>
        <w:t>vital role in the consideration of the budget and financial position of the Council going forward.</w:t>
      </w:r>
    </w:p>
    <w:p w:rsidR="00C54396" w:rsidRPr="00A403D0" w:rsidRDefault="00C54396" w:rsidP="00C54396">
      <w:pPr>
        <w:rPr>
          <w:rFonts w:cs="Arial"/>
          <w:sz w:val="24"/>
          <w:szCs w:val="24"/>
        </w:rPr>
      </w:pPr>
    </w:p>
    <w:p w:rsidR="00C54396" w:rsidRPr="00572D3A" w:rsidRDefault="00C54396" w:rsidP="00C54396">
      <w:pPr>
        <w:ind w:left="720" w:hanging="720"/>
        <w:rPr>
          <w:rFonts w:cs="Arial"/>
          <w:sz w:val="24"/>
          <w:szCs w:val="24"/>
        </w:rPr>
      </w:pPr>
      <w:r w:rsidRPr="00572D3A">
        <w:rPr>
          <w:rFonts w:cs="Arial"/>
          <w:sz w:val="24"/>
          <w:szCs w:val="24"/>
        </w:rPr>
        <w:t>(b)</w:t>
      </w:r>
      <w:r w:rsidRPr="00572D3A">
        <w:rPr>
          <w:rFonts w:cs="Arial"/>
          <w:sz w:val="24"/>
          <w:szCs w:val="24"/>
        </w:rPr>
        <w:tab/>
        <w:t xml:space="preserve">Monitoring Officer – </w:t>
      </w:r>
      <w:r>
        <w:rPr>
          <w:rFonts w:cs="Arial"/>
          <w:sz w:val="24"/>
          <w:szCs w:val="24"/>
        </w:rPr>
        <w:t>the Executive taking account of and responding to the proposals from the Overview and Scrutiny Committee (Corporate) on the budget is a critical stage in the Council’s budget-setting process.</w:t>
      </w:r>
    </w:p>
    <w:p w:rsidR="00C54396" w:rsidRPr="00572D3A" w:rsidRDefault="00C54396" w:rsidP="00C54396">
      <w:pPr>
        <w:ind w:left="720" w:hanging="720"/>
        <w:rPr>
          <w:rFonts w:cs="Arial"/>
          <w:sz w:val="24"/>
          <w:szCs w:val="24"/>
        </w:rPr>
      </w:pPr>
    </w:p>
    <w:p w:rsidR="00C54396" w:rsidRPr="00643BD5" w:rsidRDefault="00C54396" w:rsidP="00C54396">
      <w:pPr>
        <w:ind w:left="720" w:hanging="720"/>
        <w:rPr>
          <w:rFonts w:cs="Arial"/>
          <w:sz w:val="24"/>
          <w:szCs w:val="24"/>
        </w:rPr>
      </w:pPr>
      <w:r w:rsidRPr="00643BD5">
        <w:rPr>
          <w:rFonts w:cs="Arial"/>
          <w:sz w:val="24"/>
          <w:szCs w:val="24"/>
        </w:rPr>
        <w:t>(c)</w:t>
      </w:r>
      <w:r w:rsidRPr="00643BD5">
        <w:rPr>
          <w:rFonts w:cs="Arial"/>
          <w:sz w:val="24"/>
          <w:szCs w:val="24"/>
        </w:rPr>
        <w:tab/>
        <w:t xml:space="preserve">Section 151 Officer – </w:t>
      </w:r>
      <w:r w:rsidRPr="007604C4">
        <w:rPr>
          <w:rFonts w:cs="Arial"/>
          <w:sz w:val="24"/>
          <w:szCs w:val="24"/>
        </w:rPr>
        <w:t>The changes accepted by Cabinet still produce a balanced budget, in line with statutory requirements.</w:t>
      </w:r>
    </w:p>
    <w:p w:rsidR="00C54396" w:rsidRPr="00643BD5" w:rsidRDefault="00C54396" w:rsidP="00C54396">
      <w:pPr>
        <w:ind w:left="720" w:hanging="720"/>
        <w:rPr>
          <w:rFonts w:cs="Arial"/>
          <w:sz w:val="24"/>
          <w:szCs w:val="24"/>
        </w:rPr>
      </w:pPr>
    </w:p>
    <w:p w:rsidR="00C54396" w:rsidRPr="00643BD5" w:rsidRDefault="00C54396" w:rsidP="00C54396">
      <w:pPr>
        <w:rPr>
          <w:rFonts w:cs="Arial"/>
          <w:sz w:val="24"/>
          <w:szCs w:val="24"/>
        </w:rPr>
      </w:pPr>
    </w:p>
    <w:p w:rsidR="00C54396" w:rsidRPr="00643BD5" w:rsidRDefault="00C54396" w:rsidP="00C54396">
      <w:pPr>
        <w:rPr>
          <w:rFonts w:cs="Arial"/>
          <w:b/>
          <w:sz w:val="24"/>
          <w:szCs w:val="24"/>
        </w:rPr>
      </w:pPr>
      <w:r w:rsidRPr="00643BD5">
        <w:rPr>
          <w:rFonts w:cs="Arial"/>
          <w:b/>
          <w:sz w:val="24"/>
          <w:szCs w:val="24"/>
        </w:rPr>
        <w:t>5.</w:t>
      </w:r>
      <w:r w:rsidRPr="00643BD5">
        <w:rPr>
          <w:rFonts w:cs="Arial"/>
          <w:b/>
          <w:sz w:val="24"/>
          <w:szCs w:val="24"/>
        </w:rPr>
        <w:tab/>
        <w:t>BACKGROUND PAPERS</w:t>
      </w:r>
    </w:p>
    <w:p w:rsidR="00C54396" w:rsidRPr="00643BD5" w:rsidRDefault="00C54396" w:rsidP="00C54396">
      <w:pPr>
        <w:rPr>
          <w:rFonts w:cs="Arial"/>
          <w:sz w:val="24"/>
          <w:szCs w:val="24"/>
        </w:rPr>
      </w:pPr>
    </w:p>
    <w:p w:rsidR="00C54396" w:rsidRPr="00643BD5" w:rsidRDefault="00C54396" w:rsidP="00C54396">
      <w:pPr>
        <w:rPr>
          <w:rFonts w:cs="Arial"/>
          <w:sz w:val="24"/>
          <w:szCs w:val="24"/>
        </w:rPr>
      </w:pPr>
      <w:r w:rsidRPr="00643BD5">
        <w:rPr>
          <w:rFonts w:cs="Arial"/>
          <w:sz w:val="24"/>
          <w:szCs w:val="24"/>
        </w:rPr>
        <w:tab/>
        <w:t>Budget papers held in the Accountancy section.</w:t>
      </w:r>
    </w:p>
    <w:p w:rsidR="00C54396" w:rsidRPr="00643BD5" w:rsidRDefault="00C54396" w:rsidP="00C54396">
      <w:pPr>
        <w:rPr>
          <w:rFonts w:cs="Arial"/>
          <w:sz w:val="24"/>
          <w:szCs w:val="24"/>
        </w:rPr>
      </w:pPr>
    </w:p>
    <w:tbl>
      <w:tblPr>
        <w:tblW w:w="0" w:type="auto"/>
        <w:tblLook w:val="01E0" w:firstRow="1" w:lastRow="1" w:firstColumn="1" w:lastColumn="1" w:noHBand="0" w:noVBand="0"/>
      </w:tblPr>
      <w:tblGrid>
        <w:gridCol w:w="1788"/>
        <w:gridCol w:w="296"/>
        <w:gridCol w:w="6910"/>
      </w:tblGrid>
      <w:tr w:rsidR="00C54396" w:rsidRPr="00643BD5" w:rsidTr="00E73892">
        <w:tc>
          <w:tcPr>
            <w:tcW w:w="1788" w:type="dxa"/>
            <w:shd w:val="clear" w:color="auto" w:fill="auto"/>
          </w:tcPr>
          <w:p w:rsidR="00C54396" w:rsidRPr="00643BD5" w:rsidRDefault="00C54396" w:rsidP="00E73892">
            <w:pPr>
              <w:rPr>
                <w:rFonts w:cs="Arial"/>
                <w:sz w:val="24"/>
                <w:szCs w:val="24"/>
              </w:rPr>
            </w:pPr>
            <w:r w:rsidRPr="00643BD5">
              <w:rPr>
                <w:rFonts w:cs="Arial"/>
                <w:sz w:val="24"/>
                <w:szCs w:val="24"/>
              </w:rPr>
              <w:t>Report Author</w:t>
            </w:r>
          </w:p>
        </w:tc>
        <w:tc>
          <w:tcPr>
            <w:tcW w:w="296" w:type="dxa"/>
            <w:shd w:val="clear" w:color="auto" w:fill="auto"/>
          </w:tcPr>
          <w:p w:rsidR="00C54396" w:rsidRPr="00643BD5" w:rsidRDefault="00C54396" w:rsidP="00E73892">
            <w:pPr>
              <w:rPr>
                <w:rFonts w:cs="Arial"/>
                <w:sz w:val="24"/>
                <w:szCs w:val="24"/>
              </w:rPr>
            </w:pPr>
            <w:r w:rsidRPr="00643BD5">
              <w:rPr>
                <w:rFonts w:cs="Arial"/>
                <w:sz w:val="24"/>
                <w:szCs w:val="24"/>
              </w:rPr>
              <w:t>-</w:t>
            </w:r>
          </w:p>
        </w:tc>
        <w:tc>
          <w:tcPr>
            <w:tcW w:w="6910" w:type="dxa"/>
            <w:shd w:val="clear" w:color="auto" w:fill="auto"/>
          </w:tcPr>
          <w:p w:rsidR="00C54396" w:rsidRPr="00643BD5" w:rsidRDefault="00C54396" w:rsidP="00E73892">
            <w:pPr>
              <w:rPr>
                <w:rFonts w:cs="Arial"/>
                <w:sz w:val="24"/>
                <w:szCs w:val="24"/>
              </w:rPr>
            </w:pPr>
            <w:r>
              <w:rPr>
                <w:rFonts w:cs="Arial"/>
                <w:sz w:val="24"/>
                <w:szCs w:val="24"/>
              </w:rPr>
              <w:t>Emma Frith</w:t>
            </w:r>
          </w:p>
        </w:tc>
      </w:tr>
      <w:tr w:rsidR="00C54396" w:rsidRPr="00643BD5" w:rsidTr="00E73892">
        <w:tc>
          <w:tcPr>
            <w:tcW w:w="1788" w:type="dxa"/>
            <w:shd w:val="clear" w:color="auto" w:fill="auto"/>
          </w:tcPr>
          <w:p w:rsidR="00C54396" w:rsidRPr="00643BD5" w:rsidRDefault="00C54396" w:rsidP="00E73892">
            <w:pPr>
              <w:rPr>
                <w:rFonts w:cs="Arial"/>
                <w:sz w:val="24"/>
                <w:szCs w:val="24"/>
              </w:rPr>
            </w:pPr>
            <w:r w:rsidRPr="00643BD5">
              <w:rPr>
                <w:rFonts w:cs="Arial"/>
                <w:sz w:val="24"/>
                <w:szCs w:val="24"/>
              </w:rPr>
              <w:t>Designation</w:t>
            </w:r>
          </w:p>
        </w:tc>
        <w:tc>
          <w:tcPr>
            <w:tcW w:w="296" w:type="dxa"/>
            <w:shd w:val="clear" w:color="auto" w:fill="auto"/>
          </w:tcPr>
          <w:p w:rsidR="00C54396" w:rsidRPr="00643BD5" w:rsidRDefault="00C54396" w:rsidP="00E73892">
            <w:pPr>
              <w:rPr>
                <w:rFonts w:cs="Arial"/>
                <w:sz w:val="24"/>
                <w:szCs w:val="24"/>
              </w:rPr>
            </w:pPr>
            <w:r w:rsidRPr="00643BD5">
              <w:rPr>
                <w:rFonts w:cs="Arial"/>
                <w:sz w:val="24"/>
                <w:szCs w:val="24"/>
              </w:rPr>
              <w:t>-</w:t>
            </w:r>
          </w:p>
        </w:tc>
        <w:tc>
          <w:tcPr>
            <w:tcW w:w="6910" w:type="dxa"/>
            <w:shd w:val="clear" w:color="auto" w:fill="auto"/>
          </w:tcPr>
          <w:p w:rsidR="00C54396" w:rsidRPr="00643BD5" w:rsidRDefault="00C54396" w:rsidP="00E73892">
            <w:pPr>
              <w:rPr>
                <w:rFonts w:cs="Arial"/>
                <w:sz w:val="24"/>
                <w:szCs w:val="24"/>
              </w:rPr>
            </w:pPr>
            <w:r w:rsidRPr="00643BD5">
              <w:rPr>
                <w:rFonts w:cs="Arial"/>
                <w:sz w:val="24"/>
                <w:szCs w:val="24"/>
              </w:rPr>
              <w:t>Financial Services Manager</w:t>
            </w:r>
          </w:p>
        </w:tc>
      </w:tr>
      <w:tr w:rsidR="00C54396" w:rsidRPr="00643BD5" w:rsidTr="00E73892">
        <w:tc>
          <w:tcPr>
            <w:tcW w:w="1788" w:type="dxa"/>
            <w:shd w:val="clear" w:color="auto" w:fill="auto"/>
          </w:tcPr>
          <w:p w:rsidR="00C54396" w:rsidRPr="00643BD5" w:rsidRDefault="00C54396" w:rsidP="00E73892">
            <w:pPr>
              <w:rPr>
                <w:rFonts w:cs="Arial"/>
                <w:sz w:val="24"/>
                <w:szCs w:val="24"/>
              </w:rPr>
            </w:pPr>
            <w:r w:rsidRPr="00643BD5">
              <w:rPr>
                <w:rFonts w:cs="Arial"/>
                <w:sz w:val="24"/>
                <w:szCs w:val="24"/>
              </w:rPr>
              <w:t>Telephone</w:t>
            </w:r>
          </w:p>
        </w:tc>
        <w:tc>
          <w:tcPr>
            <w:tcW w:w="296" w:type="dxa"/>
            <w:shd w:val="clear" w:color="auto" w:fill="auto"/>
          </w:tcPr>
          <w:p w:rsidR="00C54396" w:rsidRPr="00643BD5" w:rsidRDefault="00C54396" w:rsidP="00E73892">
            <w:pPr>
              <w:rPr>
                <w:rFonts w:cs="Arial"/>
                <w:sz w:val="24"/>
                <w:szCs w:val="24"/>
              </w:rPr>
            </w:pPr>
            <w:r w:rsidRPr="00643BD5">
              <w:rPr>
                <w:rFonts w:cs="Arial"/>
                <w:sz w:val="24"/>
                <w:szCs w:val="24"/>
              </w:rPr>
              <w:t>-</w:t>
            </w:r>
          </w:p>
        </w:tc>
        <w:tc>
          <w:tcPr>
            <w:tcW w:w="6910" w:type="dxa"/>
            <w:shd w:val="clear" w:color="auto" w:fill="auto"/>
          </w:tcPr>
          <w:p w:rsidR="00C54396" w:rsidRPr="00643BD5" w:rsidRDefault="00C54396" w:rsidP="00E73892">
            <w:pPr>
              <w:rPr>
                <w:rFonts w:cs="Arial"/>
                <w:sz w:val="24"/>
                <w:szCs w:val="24"/>
              </w:rPr>
            </w:pPr>
            <w:r>
              <w:rPr>
                <w:rFonts w:cs="Arial"/>
                <w:sz w:val="24"/>
                <w:szCs w:val="24"/>
              </w:rPr>
              <w:t>01623 463495</w:t>
            </w:r>
          </w:p>
        </w:tc>
      </w:tr>
      <w:tr w:rsidR="00C54396" w:rsidRPr="00643BD5" w:rsidTr="00E73892">
        <w:tc>
          <w:tcPr>
            <w:tcW w:w="1788" w:type="dxa"/>
            <w:shd w:val="clear" w:color="auto" w:fill="auto"/>
          </w:tcPr>
          <w:p w:rsidR="00C54396" w:rsidRPr="00643BD5" w:rsidRDefault="00C54396" w:rsidP="00E73892">
            <w:pPr>
              <w:rPr>
                <w:rFonts w:cs="Arial"/>
                <w:sz w:val="24"/>
                <w:szCs w:val="24"/>
              </w:rPr>
            </w:pPr>
            <w:r w:rsidRPr="00643BD5">
              <w:rPr>
                <w:rFonts w:cs="Arial"/>
                <w:sz w:val="24"/>
                <w:szCs w:val="24"/>
              </w:rPr>
              <w:t>E-mail</w:t>
            </w:r>
          </w:p>
        </w:tc>
        <w:tc>
          <w:tcPr>
            <w:tcW w:w="296" w:type="dxa"/>
            <w:shd w:val="clear" w:color="auto" w:fill="auto"/>
          </w:tcPr>
          <w:p w:rsidR="00C54396" w:rsidRPr="00643BD5" w:rsidRDefault="00C54396" w:rsidP="00E73892">
            <w:pPr>
              <w:rPr>
                <w:rFonts w:cs="Arial"/>
                <w:sz w:val="24"/>
                <w:szCs w:val="24"/>
              </w:rPr>
            </w:pPr>
            <w:r w:rsidRPr="00643BD5">
              <w:rPr>
                <w:rFonts w:cs="Arial"/>
                <w:sz w:val="24"/>
                <w:szCs w:val="24"/>
              </w:rPr>
              <w:t>-</w:t>
            </w:r>
          </w:p>
        </w:tc>
        <w:tc>
          <w:tcPr>
            <w:tcW w:w="6910" w:type="dxa"/>
            <w:shd w:val="clear" w:color="auto" w:fill="auto"/>
          </w:tcPr>
          <w:p w:rsidR="00C54396" w:rsidRPr="00643BD5" w:rsidRDefault="009D61A7" w:rsidP="00E73892">
            <w:pPr>
              <w:rPr>
                <w:rFonts w:cs="Arial"/>
                <w:sz w:val="24"/>
                <w:szCs w:val="24"/>
              </w:rPr>
            </w:pPr>
            <w:hyperlink r:id="rId20" w:history="1">
              <w:r w:rsidR="00C54396" w:rsidRPr="00353F5A">
                <w:rPr>
                  <w:rStyle w:val="Hyperlink"/>
                  <w:rFonts w:cs="Arial"/>
                  <w:sz w:val="24"/>
                  <w:szCs w:val="24"/>
                </w:rPr>
                <w:t>efrith@mansfield.gov.uk</w:t>
              </w:r>
            </w:hyperlink>
            <w:r w:rsidR="00C54396" w:rsidRPr="00643BD5">
              <w:rPr>
                <w:rFonts w:cs="Arial"/>
                <w:sz w:val="24"/>
                <w:szCs w:val="24"/>
              </w:rPr>
              <w:t xml:space="preserve"> </w:t>
            </w:r>
          </w:p>
        </w:tc>
      </w:tr>
    </w:tbl>
    <w:p w:rsidR="00C54396" w:rsidRPr="00643BD5" w:rsidRDefault="00C54396" w:rsidP="00C54396">
      <w:pPr>
        <w:spacing w:after="200" w:line="276" w:lineRule="auto"/>
        <w:jc w:val="left"/>
        <w:rPr>
          <w:rFonts w:cs="Arial"/>
          <w:sz w:val="24"/>
          <w:szCs w:val="24"/>
        </w:rPr>
      </w:pPr>
      <w:r w:rsidRPr="00643BD5">
        <w:rPr>
          <w:rFonts w:cs="Arial"/>
          <w:sz w:val="24"/>
          <w:szCs w:val="24"/>
        </w:rPr>
        <w:br w:type="page"/>
      </w:r>
    </w:p>
    <w:p w:rsidR="00C54396" w:rsidRPr="00643BD5" w:rsidRDefault="00C54396" w:rsidP="00C54396">
      <w:pPr>
        <w:spacing w:after="200" w:line="276" w:lineRule="auto"/>
        <w:jc w:val="left"/>
        <w:rPr>
          <w:rFonts w:cs="Arial"/>
          <w:b/>
          <w:sz w:val="24"/>
          <w:szCs w:val="24"/>
          <w:u w:val="single"/>
        </w:rPr>
      </w:pPr>
      <w:r w:rsidRPr="00643BD5">
        <w:rPr>
          <w:rFonts w:cs="Arial"/>
          <w:b/>
          <w:sz w:val="24"/>
          <w:szCs w:val="24"/>
          <w:u w:val="single"/>
        </w:rPr>
        <w:t xml:space="preserve">Appendix </w:t>
      </w:r>
      <w:r>
        <w:rPr>
          <w:rFonts w:cs="Arial"/>
          <w:b/>
          <w:sz w:val="24"/>
          <w:szCs w:val="24"/>
          <w:u w:val="single"/>
        </w:rPr>
        <w:t>1</w:t>
      </w:r>
      <w:r w:rsidRPr="00643BD5">
        <w:rPr>
          <w:rFonts w:cs="Arial"/>
          <w:b/>
          <w:sz w:val="24"/>
          <w:szCs w:val="24"/>
          <w:u w:val="single"/>
        </w:rPr>
        <w:t xml:space="preserve"> – Scrutiny Committee Recommendations</w:t>
      </w:r>
    </w:p>
    <w:p w:rsidR="00C54396" w:rsidRDefault="00C54396" w:rsidP="00C54396">
      <w:pPr>
        <w:rPr>
          <w:b/>
          <w:sz w:val="24"/>
          <w:szCs w:val="24"/>
        </w:rPr>
      </w:pPr>
    </w:p>
    <w:p w:rsidR="00C54396" w:rsidRDefault="00C54396" w:rsidP="00C54396">
      <w:pPr>
        <w:rPr>
          <w:b/>
          <w:sz w:val="24"/>
          <w:szCs w:val="24"/>
        </w:rPr>
      </w:pPr>
      <w:r>
        <w:rPr>
          <w:b/>
          <w:sz w:val="24"/>
          <w:szCs w:val="24"/>
        </w:rPr>
        <w:t>General Fund Savings Proposals 2023/24</w:t>
      </w:r>
    </w:p>
    <w:p w:rsidR="00C54396" w:rsidRDefault="00C54396" w:rsidP="00C54396">
      <w:pPr>
        <w:rPr>
          <w:b/>
          <w:sz w:val="24"/>
          <w:szCs w:val="24"/>
        </w:rPr>
      </w:pPr>
    </w:p>
    <w:p w:rsidR="00C54396" w:rsidRDefault="00C54396" w:rsidP="00C54396">
      <w:pPr>
        <w:rPr>
          <w:b/>
          <w:sz w:val="24"/>
          <w:szCs w:val="24"/>
        </w:rPr>
      </w:pPr>
      <w:r w:rsidRPr="004E3526">
        <w:rPr>
          <w:noProof/>
        </w:rPr>
        <w:drawing>
          <wp:inline distT="0" distB="0" distL="0" distR="0" wp14:anchorId="0578BFA8" wp14:editId="045D5618">
            <wp:extent cx="2982244" cy="267462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5028" cy="2677117"/>
                    </a:xfrm>
                    <a:prstGeom prst="rect">
                      <a:avLst/>
                    </a:prstGeom>
                    <a:noFill/>
                    <a:ln>
                      <a:noFill/>
                    </a:ln>
                  </pic:spPr>
                </pic:pic>
              </a:graphicData>
            </a:graphic>
          </wp:inline>
        </w:drawing>
      </w:r>
    </w:p>
    <w:p w:rsidR="00C54396" w:rsidRDefault="00C54396" w:rsidP="00C54396">
      <w:pPr>
        <w:spacing w:after="200" w:line="276" w:lineRule="auto"/>
        <w:jc w:val="left"/>
        <w:rPr>
          <w:rFonts w:cs="Arial"/>
          <w:b/>
          <w:sz w:val="24"/>
          <w:szCs w:val="24"/>
          <w:u w:val="single"/>
        </w:rPr>
      </w:pPr>
      <w:r>
        <w:rPr>
          <w:rFonts w:cs="Arial"/>
          <w:b/>
          <w:sz w:val="24"/>
          <w:szCs w:val="24"/>
          <w:u w:val="single"/>
        </w:rPr>
        <w:br w:type="page"/>
      </w:r>
    </w:p>
    <w:p w:rsidR="00C54396" w:rsidRPr="00643BD5" w:rsidRDefault="00C54396" w:rsidP="00C54396">
      <w:pPr>
        <w:spacing w:after="200" w:line="276" w:lineRule="auto"/>
        <w:jc w:val="left"/>
        <w:rPr>
          <w:rFonts w:cs="Arial"/>
          <w:b/>
          <w:sz w:val="24"/>
          <w:szCs w:val="24"/>
          <w:u w:val="single"/>
        </w:rPr>
      </w:pPr>
      <w:r w:rsidRPr="00643BD5">
        <w:rPr>
          <w:rFonts w:cs="Arial"/>
          <w:b/>
          <w:sz w:val="24"/>
          <w:szCs w:val="24"/>
          <w:u w:val="single"/>
        </w:rPr>
        <w:t>Appendix 2 – Cabinet Response to Scrutiny Committee Recommendations</w:t>
      </w:r>
    </w:p>
    <w:p w:rsidR="00C54396" w:rsidRPr="00643BD5" w:rsidRDefault="00C54396" w:rsidP="00C54396">
      <w:pPr>
        <w:spacing w:after="200" w:line="276" w:lineRule="auto"/>
        <w:jc w:val="left"/>
        <w:rPr>
          <w:rFonts w:cs="Arial"/>
          <w:sz w:val="24"/>
          <w:szCs w:val="24"/>
        </w:rPr>
      </w:pPr>
      <w:r w:rsidRPr="000E086C">
        <w:rPr>
          <w:noProof/>
        </w:rPr>
        <w:drawing>
          <wp:inline distT="0" distB="0" distL="0" distR="0" wp14:anchorId="0BBC83D4" wp14:editId="5A1A1CD4">
            <wp:extent cx="5731510" cy="6147044"/>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6147044"/>
                    </a:xfrm>
                    <a:prstGeom prst="rect">
                      <a:avLst/>
                    </a:prstGeom>
                    <a:noFill/>
                    <a:ln>
                      <a:noFill/>
                    </a:ln>
                  </pic:spPr>
                </pic:pic>
              </a:graphicData>
            </a:graphic>
          </wp:inline>
        </w:drawing>
      </w:r>
    </w:p>
    <w:p w:rsidR="00C54396" w:rsidRPr="00643BD5" w:rsidRDefault="00C54396" w:rsidP="00C54396">
      <w:pPr>
        <w:spacing w:after="200" w:line="276" w:lineRule="auto"/>
        <w:jc w:val="left"/>
        <w:rPr>
          <w:rFonts w:cs="Arial"/>
          <w:sz w:val="24"/>
          <w:szCs w:val="24"/>
        </w:rPr>
      </w:pPr>
      <w:r w:rsidRPr="00643BD5">
        <w:rPr>
          <w:rFonts w:cs="Arial"/>
          <w:sz w:val="24"/>
          <w:szCs w:val="24"/>
        </w:rPr>
        <w:t xml:space="preserve"> </w:t>
      </w:r>
    </w:p>
    <w:p w:rsidR="00C54396" w:rsidRDefault="00C54396" w:rsidP="00C54396">
      <w:pPr>
        <w:rPr>
          <w:b/>
          <w:sz w:val="32"/>
          <w:szCs w:val="32"/>
        </w:rPr>
      </w:pPr>
    </w:p>
    <w:p w:rsidR="00C54396" w:rsidRPr="00531CC4" w:rsidRDefault="00C54396" w:rsidP="00C54396">
      <w:pPr>
        <w:rPr>
          <w:rFonts w:cs="Arial"/>
          <w:b/>
          <w:sz w:val="24"/>
          <w:szCs w:val="24"/>
        </w:rPr>
      </w:pPr>
    </w:p>
    <w:p w:rsidR="00C54396" w:rsidRPr="00317DCD" w:rsidRDefault="00C54396" w:rsidP="00C54396">
      <w:pPr>
        <w:rPr>
          <w:b/>
          <w:sz w:val="32"/>
          <w:szCs w:val="32"/>
        </w:rPr>
      </w:pPr>
    </w:p>
    <w:p w:rsidR="00692568" w:rsidRPr="00CB4506" w:rsidRDefault="00692568" w:rsidP="00CB4506">
      <w:pPr>
        <w:rPr>
          <w:rFonts w:cs="Arial"/>
          <w:sz w:val="2"/>
          <w:szCs w:val="2"/>
        </w:rPr>
      </w:pPr>
    </w:p>
    <w:sectPr w:rsidR="00692568" w:rsidRPr="00CB4506" w:rsidSect="00D83E9C">
      <w:headerReference w:type="even" r:id="rId23"/>
      <w:headerReference w:type="default" r:id="rId24"/>
      <w:headerReference w:type="firs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87C" w:rsidRDefault="000C487C">
      <w:r>
        <w:separator/>
      </w:r>
    </w:p>
  </w:endnote>
  <w:endnote w:type="continuationSeparator" w:id="0">
    <w:p w:rsidR="000C487C" w:rsidRDefault="000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87C" w:rsidRDefault="000C487C">
      <w:r>
        <w:separator/>
      </w:r>
    </w:p>
  </w:footnote>
  <w:footnote w:type="continuationSeparator" w:id="0">
    <w:p w:rsidR="000C487C" w:rsidRDefault="000C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0D" w:rsidRPr="00BE210E" w:rsidRDefault="002D0C0D" w:rsidP="00BE210E">
    <w:pPr>
      <w:pStyle w:val="Header"/>
      <w:jc w:val="right"/>
      <w:rPr>
        <w:rFonts w:cs="Arial"/>
        <w:sz w:val="18"/>
        <w:szCs w:val="18"/>
      </w:rPr>
    </w:pPr>
    <w:r w:rsidRPr="00BE210E">
      <w:rPr>
        <w:rFonts w:cs="Arial"/>
        <w:sz w:val="18"/>
        <w:szCs w:val="18"/>
      </w:rPr>
      <w:t>MANSFIELD DISTRICT COUNCIL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0D" w:rsidRDefault="002D0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0D" w:rsidRPr="00BE210E" w:rsidRDefault="002D0C0D" w:rsidP="00BE210E">
    <w:pPr>
      <w:pStyle w:val="Header"/>
      <w:jc w:val="right"/>
      <w:rPr>
        <w:rFonts w:cs="Arial"/>
        <w:sz w:val="18"/>
        <w:szCs w:val="18"/>
      </w:rPr>
    </w:pPr>
    <w:r w:rsidRPr="00BE210E">
      <w:rPr>
        <w:rFonts w:cs="Arial"/>
        <w:sz w:val="18"/>
        <w:szCs w:val="18"/>
      </w:rPr>
      <w:t>MANSFIELD DISTRICT COUNCIL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0D" w:rsidRDefault="002D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E6DA8"/>
    <w:multiLevelType w:val="hybridMultilevel"/>
    <w:tmpl w:val="DAE665CC"/>
    <w:lvl w:ilvl="0" w:tplc="FD5EA74C">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3203FC"/>
    <w:multiLevelType w:val="hybridMultilevel"/>
    <w:tmpl w:val="64C2FC2C"/>
    <w:lvl w:ilvl="0" w:tplc="9E4AEBE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C6788D"/>
    <w:multiLevelType w:val="hybridMultilevel"/>
    <w:tmpl w:val="8E5AC01E"/>
    <w:lvl w:ilvl="0" w:tplc="649E88C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CAB1AC4"/>
    <w:multiLevelType w:val="hybridMultilevel"/>
    <w:tmpl w:val="0698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2A7F"/>
    <w:multiLevelType w:val="hybridMultilevel"/>
    <w:tmpl w:val="FF1A0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5B1C82"/>
    <w:multiLevelType w:val="hybridMultilevel"/>
    <w:tmpl w:val="D3CCCD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0044"/>
    <w:rsid w:val="00000217"/>
    <w:rsid w:val="00001883"/>
    <w:rsid w:val="00004353"/>
    <w:rsid w:val="00004B7C"/>
    <w:rsid w:val="00005DB1"/>
    <w:rsid w:val="000069CC"/>
    <w:rsid w:val="0000739F"/>
    <w:rsid w:val="0001078D"/>
    <w:rsid w:val="00010CEE"/>
    <w:rsid w:val="00011363"/>
    <w:rsid w:val="00011CD4"/>
    <w:rsid w:val="000129C9"/>
    <w:rsid w:val="000136B1"/>
    <w:rsid w:val="000142FE"/>
    <w:rsid w:val="00014D0A"/>
    <w:rsid w:val="00015918"/>
    <w:rsid w:val="00017824"/>
    <w:rsid w:val="00017EDB"/>
    <w:rsid w:val="00020FC9"/>
    <w:rsid w:val="00021525"/>
    <w:rsid w:val="00021D36"/>
    <w:rsid w:val="00022AA5"/>
    <w:rsid w:val="00025ADE"/>
    <w:rsid w:val="000336DB"/>
    <w:rsid w:val="000354BB"/>
    <w:rsid w:val="00037052"/>
    <w:rsid w:val="000412F1"/>
    <w:rsid w:val="00043694"/>
    <w:rsid w:val="00044D51"/>
    <w:rsid w:val="00051527"/>
    <w:rsid w:val="00053649"/>
    <w:rsid w:val="00053674"/>
    <w:rsid w:val="00053B90"/>
    <w:rsid w:val="00054514"/>
    <w:rsid w:val="000549E5"/>
    <w:rsid w:val="00054C69"/>
    <w:rsid w:val="00057226"/>
    <w:rsid w:val="000618FA"/>
    <w:rsid w:val="0006246B"/>
    <w:rsid w:val="00062D58"/>
    <w:rsid w:val="000647E3"/>
    <w:rsid w:val="0006507E"/>
    <w:rsid w:val="00070970"/>
    <w:rsid w:val="00070DBF"/>
    <w:rsid w:val="000729C5"/>
    <w:rsid w:val="0007716E"/>
    <w:rsid w:val="000772E6"/>
    <w:rsid w:val="00077419"/>
    <w:rsid w:val="00081DEA"/>
    <w:rsid w:val="00081E6B"/>
    <w:rsid w:val="000820B0"/>
    <w:rsid w:val="00084A0C"/>
    <w:rsid w:val="000852D1"/>
    <w:rsid w:val="00085B93"/>
    <w:rsid w:val="0008774E"/>
    <w:rsid w:val="000906CD"/>
    <w:rsid w:val="00090EBF"/>
    <w:rsid w:val="0009150C"/>
    <w:rsid w:val="00094D0E"/>
    <w:rsid w:val="000A3DDE"/>
    <w:rsid w:val="000A4551"/>
    <w:rsid w:val="000A4590"/>
    <w:rsid w:val="000B0155"/>
    <w:rsid w:val="000B0A8F"/>
    <w:rsid w:val="000B167C"/>
    <w:rsid w:val="000B2D3B"/>
    <w:rsid w:val="000B4253"/>
    <w:rsid w:val="000B4C77"/>
    <w:rsid w:val="000B6C16"/>
    <w:rsid w:val="000B7FD5"/>
    <w:rsid w:val="000C0E64"/>
    <w:rsid w:val="000C1BD1"/>
    <w:rsid w:val="000C259F"/>
    <w:rsid w:val="000C2F76"/>
    <w:rsid w:val="000C3652"/>
    <w:rsid w:val="000C3AE9"/>
    <w:rsid w:val="000C3C39"/>
    <w:rsid w:val="000C3F97"/>
    <w:rsid w:val="000C487C"/>
    <w:rsid w:val="000C6154"/>
    <w:rsid w:val="000C6E53"/>
    <w:rsid w:val="000C7458"/>
    <w:rsid w:val="000D05E3"/>
    <w:rsid w:val="000E3386"/>
    <w:rsid w:val="000E36C2"/>
    <w:rsid w:val="000E37B6"/>
    <w:rsid w:val="000F05DF"/>
    <w:rsid w:val="000F0851"/>
    <w:rsid w:val="000F2462"/>
    <w:rsid w:val="000F38A2"/>
    <w:rsid w:val="000F39D0"/>
    <w:rsid w:val="000F4587"/>
    <w:rsid w:val="000F5626"/>
    <w:rsid w:val="000F67FD"/>
    <w:rsid w:val="000F6B44"/>
    <w:rsid w:val="00100EB6"/>
    <w:rsid w:val="0010196A"/>
    <w:rsid w:val="001023B9"/>
    <w:rsid w:val="00102F2F"/>
    <w:rsid w:val="00104C96"/>
    <w:rsid w:val="00106051"/>
    <w:rsid w:val="00106DCF"/>
    <w:rsid w:val="00110088"/>
    <w:rsid w:val="001101FF"/>
    <w:rsid w:val="0011202B"/>
    <w:rsid w:val="001126DB"/>
    <w:rsid w:val="00114AC5"/>
    <w:rsid w:val="001155CE"/>
    <w:rsid w:val="00115B05"/>
    <w:rsid w:val="00116979"/>
    <w:rsid w:val="00120645"/>
    <w:rsid w:val="00120F3D"/>
    <w:rsid w:val="00121C0A"/>
    <w:rsid w:val="00122F98"/>
    <w:rsid w:val="0012430C"/>
    <w:rsid w:val="001271EF"/>
    <w:rsid w:val="001272E7"/>
    <w:rsid w:val="0012794C"/>
    <w:rsid w:val="00130547"/>
    <w:rsid w:val="001307A5"/>
    <w:rsid w:val="00132DC4"/>
    <w:rsid w:val="00133F36"/>
    <w:rsid w:val="00134D90"/>
    <w:rsid w:val="00140FCE"/>
    <w:rsid w:val="00141AB6"/>
    <w:rsid w:val="00143096"/>
    <w:rsid w:val="00143B76"/>
    <w:rsid w:val="001440D1"/>
    <w:rsid w:val="00144698"/>
    <w:rsid w:val="00145F56"/>
    <w:rsid w:val="00147CE0"/>
    <w:rsid w:val="00150A55"/>
    <w:rsid w:val="001531FE"/>
    <w:rsid w:val="001560FD"/>
    <w:rsid w:val="00160579"/>
    <w:rsid w:val="0016096C"/>
    <w:rsid w:val="00160E1A"/>
    <w:rsid w:val="001633DB"/>
    <w:rsid w:val="00164309"/>
    <w:rsid w:val="00164E05"/>
    <w:rsid w:val="0016574B"/>
    <w:rsid w:val="00170813"/>
    <w:rsid w:val="00173C3D"/>
    <w:rsid w:val="0017555E"/>
    <w:rsid w:val="00175C50"/>
    <w:rsid w:val="00175D10"/>
    <w:rsid w:val="0017654C"/>
    <w:rsid w:val="00176EE1"/>
    <w:rsid w:val="00182BDF"/>
    <w:rsid w:val="001837E0"/>
    <w:rsid w:val="00185440"/>
    <w:rsid w:val="00185771"/>
    <w:rsid w:val="0019055A"/>
    <w:rsid w:val="00190BBF"/>
    <w:rsid w:val="00191775"/>
    <w:rsid w:val="001923A7"/>
    <w:rsid w:val="0019300E"/>
    <w:rsid w:val="00194FB8"/>
    <w:rsid w:val="001963F1"/>
    <w:rsid w:val="00196C3F"/>
    <w:rsid w:val="00197265"/>
    <w:rsid w:val="0019794A"/>
    <w:rsid w:val="001A0528"/>
    <w:rsid w:val="001A0E5D"/>
    <w:rsid w:val="001A1E16"/>
    <w:rsid w:val="001A31D4"/>
    <w:rsid w:val="001A3322"/>
    <w:rsid w:val="001A53A5"/>
    <w:rsid w:val="001A5C18"/>
    <w:rsid w:val="001A6403"/>
    <w:rsid w:val="001B0C3B"/>
    <w:rsid w:val="001B1635"/>
    <w:rsid w:val="001B2AA5"/>
    <w:rsid w:val="001B42BD"/>
    <w:rsid w:val="001B46B8"/>
    <w:rsid w:val="001C0B45"/>
    <w:rsid w:val="001C35AB"/>
    <w:rsid w:val="001C43C5"/>
    <w:rsid w:val="001C52E7"/>
    <w:rsid w:val="001C6695"/>
    <w:rsid w:val="001C691D"/>
    <w:rsid w:val="001D07EA"/>
    <w:rsid w:val="001D13A7"/>
    <w:rsid w:val="001D535D"/>
    <w:rsid w:val="001D57B2"/>
    <w:rsid w:val="001D5853"/>
    <w:rsid w:val="001D60A9"/>
    <w:rsid w:val="001D6448"/>
    <w:rsid w:val="001E037F"/>
    <w:rsid w:val="001E1165"/>
    <w:rsid w:val="001E375A"/>
    <w:rsid w:val="001E6D6B"/>
    <w:rsid w:val="001E73BA"/>
    <w:rsid w:val="001F0403"/>
    <w:rsid w:val="001F21FC"/>
    <w:rsid w:val="001F4A06"/>
    <w:rsid w:val="00200045"/>
    <w:rsid w:val="002008B6"/>
    <w:rsid w:val="002017BD"/>
    <w:rsid w:val="00203263"/>
    <w:rsid w:val="00205852"/>
    <w:rsid w:val="002061C8"/>
    <w:rsid w:val="00206E68"/>
    <w:rsid w:val="00207427"/>
    <w:rsid w:val="0020772C"/>
    <w:rsid w:val="00212096"/>
    <w:rsid w:val="00214331"/>
    <w:rsid w:val="00215007"/>
    <w:rsid w:val="002167A4"/>
    <w:rsid w:val="00216BA7"/>
    <w:rsid w:val="00220018"/>
    <w:rsid w:val="00223FC8"/>
    <w:rsid w:val="00224E83"/>
    <w:rsid w:val="00225003"/>
    <w:rsid w:val="0022528E"/>
    <w:rsid w:val="00227288"/>
    <w:rsid w:val="00233EC8"/>
    <w:rsid w:val="00233FDE"/>
    <w:rsid w:val="00234C1F"/>
    <w:rsid w:val="002366EB"/>
    <w:rsid w:val="0023747F"/>
    <w:rsid w:val="00241162"/>
    <w:rsid w:val="00241F4B"/>
    <w:rsid w:val="00242A40"/>
    <w:rsid w:val="00242CA7"/>
    <w:rsid w:val="00243580"/>
    <w:rsid w:val="00245338"/>
    <w:rsid w:val="0024533E"/>
    <w:rsid w:val="00245A2A"/>
    <w:rsid w:val="0024628D"/>
    <w:rsid w:val="00246B93"/>
    <w:rsid w:val="00247895"/>
    <w:rsid w:val="0025396B"/>
    <w:rsid w:val="00255F45"/>
    <w:rsid w:val="00256B13"/>
    <w:rsid w:val="00260934"/>
    <w:rsid w:val="002632BC"/>
    <w:rsid w:val="00266B3B"/>
    <w:rsid w:val="002675FA"/>
    <w:rsid w:val="00267BC2"/>
    <w:rsid w:val="00267C95"/>
    <w:rsid w:val="002735C8"/>
    <w:rsid w:val="00273C47"/>
    <w:rsid w:val="0027437C"/>
    <w:rsid w:val="00274700"/>
    <w:rsid w:val="00274D59"/>
    <w:rsid w:val="00275775"/>
    <w:rsid w:val="002764B8"/>
    <w:rsid w:val="00276E31"/>
    <w:rsid w:val="002810BA"/>
    <w:rsid w:val="0028136F"/>
    <w:rsid w:val="002817D2"/>
    <w:rsid w:val="0028237B"/>
    <w:rsid w:val="002830EC"/>
    <w:rsid w:val="002842AB"/>
    <w:rsid w:val="00285CCE"/>
    <w:rsid w:val="0029093D"/>
    <w:rsid w:val="00290A1A"/>
    <w:rsid w:val="00291014"/>
    <w:rsid w:val="002911E3"/>
    <w:rsid w:val="00292E4A"/>
    <w:rsid w:val="002930C6"/>
    <w:rsid w:val="00293756"/>
    <w:rsid w:val="00293B99"/>
    <w:rsid w:val="00295776"/>
    <w:rsid w:val="00296934"/>
    <w:rsid w:val="00297A46"/>
    <w:rsid w:val="002A11E8"/>
    <w:rsid w:val="002A32DC"/>
    <w:rsid w:val="002A7E33"/>
    <w:rsid w:val="002B30FC"/>
    <w:rsid w:val="002B672B"/>
    <w:rsid w:val="002B7B1C"/>
    <w:rsid w:val="002B7E4E"/>
    <w:rsid w:val="002C1198"/>
    <w:rsid w:val="002C3793"/>
    <w:rsid w:val="002C476E"/>
    <w:rsid w:val="002C529C"/>
    <w:rsid w:val="002C610B"/>
    <w:rsid w:val="002C6E27"/>
    <w:rsid w:val="002C7B7D"/>
    <w:rsid w:val="002C7DA1"/>
    <w:rsid w:val="002D0C0D"/>
    <w:rsid w:val="002D6907"/>
    <w:rsid w:val="002D6910"/>
    <w:rsid w:val="002D7BEB"/>
    <w:rsid w:val="002D7DB2"/>
    <w:rsid w:val="002E0F77"/>
    <w:rsid w:val="002E36DD"/>
    <w:rsid w:val="002E3AA9"/>
    <w:rsid w:val="002E4564"/>
    <w:rsid w:val="002E48E8"/>
    <w:rsid w:val="002E4E27"/>
    <w:rsid w:val="002E6CAA"/>
    <w:rsid w:val="002E7D08"/>
    <w:rsid w:val="002F0FB0"/>
    <w:rsid w:val="002F113A"/>
    <w:rsid w:val="002F2336"/>
    <w:rsid w:val="002F2D74"/>
    <w:rsid w:val="002F3898"/>
    <w:rsid w:val="002F4EE5"/>
    <w:rsid w:val="002F5C0D"/>
    <w:rsid w:val="002F6352"/>
    <w:rsid w:val="002F6E76"/>
    <w:rsid w:val="002F73F9"/>
    <w:rsid w:val="00300AFB"/>
    <w:rsid w:val="003042CE"/>
    <w:rsid w:val="003046A0"/>
    <w:rsid w:val="003049A4"/>
    <w:rsid w:val="003052AD"/>
    <w:rsid w:val="00306586"/>
    <w:rsid w:val="00311644"/>
    <w:rsid w:val="00316E07"/>
    <w:rsid w:val="003202A1"/>
    <w:rsid w:val="00320500"/>
    <w:rsid w:val="00320BAD"/>
    <w:rsid w:val="00321ED9"/>
    <w:rsid w:val="003233D5"/>
    <w:rsid w:val="0032522F"/>
    <w:rsid w:val="0032528F"/>
    <w:rsid w:val="00326710"/>
    <w:rsid w:val="003271CC"/>
    <w:rsid w:val="003306C9"/>
    <w:rsid w:val="003309BE"/>
    <w:rsid w:val="00330AA9"/>
    <w:rsid w:val="00331871"/>
    <w:rsid w:val="003369F5"/>
    <w:rsid w:val="00337C75"/>
    <w:rsid w:val="00341064"/>
    <w:rsid w:val="00345A1E"/>
    <w:rsid w:val="00345C55"/>
    <w:rsid w:val="00352363"/>
    <w:rsid w:val="00354F3A"/>
    <w:rsid w:val="00355B89"/>
    <w:rsid w:val="00355F7D"/>
    <w:rsid w:val="003563A1"/>
    <w:rsid w:val="0035778C"/>
    <w:rsid w:val="00360637"/>
    <w:rsid w:val="003612C9"/>
    <w:rsid w:val="00362363"/>
    <w:rsid w:val="00362C68"/>
    <w:rsid w:val="003652CE"/>
    <w:rsid w:val="00365B30"/>
    <w:rsid w:val="00365D94"/>
    <w:rsid w:val="00366350"/>
    <w:rsid w:val="003668A0"/>
    <w:rsid w:val="003678B1"/>
    <w:rsid w:val="003725FD"/>
    <w:rsid w:val="00372FEA"/>
    <w:rsid w:val="003749F7"/>
    <w:rsid w:val="00375E87"/>
    <w:rsid w:val="00384CBE"/>
    <w:rsid w:val="00385C47"/>
    <w:rsid w:val="00390C8A"/>
    <w:rsid w:val="00391C7E"/>
    <w:rsid w:val="00394B5A"/>
    <w:rsid w:val="00394C78"/>
    <w:rsid w:val="00394E10"/>
    <w:rsid w:val="003968A9"/>
    <w:rsid w:val="003A1017"/>
    <w:rsid w:val="003A1AD7"/>
    <w:rsid w:val="003A35CC"/>
    <w:rsid w:val="003A3F5B"/>
    <w:rsid w:val="003A4028"/>
    <w:rsid w:val="003A5D9E"/>
    <w:rsid w:val="003B0BE7"/>
    <w:rsid w:val="003B0E66"/>
    <w:rsid w:val="003B2985"/>
    <w:rsid w:val="003B2AFE"/>
    <w:rsid w:val="003B46E6"/>
    <w:rsid w:val="003B4869"/>
    <w:rsid w:val="003B4E0A"/>
    <w:rsid w:val="003B525E"/>
    <w:rsid w:val="003B60A0"/>
    <w:rsid w:val="003C003C"/>
    <w:rsid w:val="003C1725"/>
    <w:rsid w:val="003C39EA"/>
    <w:rsid w:val="003C519F"/>
    <w:rsid w:val="003C69B7"/>
    <w:rsid w:val="003C7FBD"/>
    <w:rsid w:val="003D02A5"/>
    <w:rsid w:val="003D2C58"/>
    <w:rsid w:val="003D3D24"/>
    <w:rsid w:val="003D546F"/>
    <w:rsid w:val="003E50A6"/>
    <w:rsid w:val="003E5A65"/>
    <w:rsid w:val="003E6D22"/>
    <w:rsid w:val="003F0A37"/>
    <w:rsid w:val="003F162E"/>
    <w:rsid w:val="003F18F0"/>
    <w:rsid w:val="003F1D28"/>
    <w:rsid w:val="003F252B"/>
    <w:rsid w:val="003F2683"/>
    <w:rsid w:val="003F2B5F"/>
    <w:rsid w:val="003F4C71"/>
    <w:rsid w:val="003F662C"/>
    <w:rsid w:val="003F7928"/>
    <w:rsid w:val="004002DD"/>
    <w:rsid w:val="00401320"/>
    <w:rsid w:val="00403EA0"/>
    <w:rsid w:val="00404B9F"/>
    <w:rsid w:val="00405E24"/>
    <w:rsid w:val="0040730A"/>
    <w:rsid w:val="00410368"/>
    <w:rsid w:val="004106FA"/>
    <w:rsid w:val="00411385"/>
    <w:rsid w:val="00411787"/>
    <w:rsid w:val="00412EA8"/>
    <w:rsid w:val="0041486D"/>
    <w:rsid w:val="00416666"/>
    <w:rsid w:val="0041730E"/>
    <w:rsid w:val="0042101C"/>
    <w:rsid w:val="00423D38"/>
    <w:rsid w:val="00425813"/>
    <w:rsid w:val="004269EC"/>
    <w:rsid w:val="0043118F"/>
    <w:rsid w:val="0043162D"/>
    <w:rsid w:val="004325AB"/>
    <w:rsid w:val="00435B96"/>
    <w:rsid w:val="00435CD4"/>
    <w:rsid w:val="00440B36"/>
    <w:rsid w:val="00440F01"/>
    <w:rsid w:val="004417DD"/>
    <w:rsid w:val="00442A0B"/>
    <w:rsid w:val="00443629"/>
    <w:rsid w:val="0044370E"/>
    <w:rsid w:val="00443A5C"/>
    <w:rsid w:val="00443D7D"/>
    <w:rsid w:val="004445D0"/>
    <w:rsid w:val="00444AA3"/>
    <w:rsid w:val="00445AC7"/>
    <w:rsid w:val="00445E35"/>
    <w:rsid w:val="00446047"/>
    <w:rsid w:val="00450E84"/>
    <w:rsid w:val="00455096"/>
    <w:rsid w:val="00456339"/>
    <w:rsid w:val="00456CF0"/>
    <w:rsid w:val="004610C7"/>
    <w:rsid w:val="00463B50"/>
    <w:rsid w:val="00464AC6"/>
    <w:rsid w:val="004658A7"/>
    <w:rsid w:val="00470061"/>
    <w:rsid w:val="004727DC"/>
    <w:rsid w:val="004745EE"/>
    <w:rsid w:val="00474631"/>
    <w:rsid w:val="00474E55"/>
    <w:rsid w:val="00477A6D"/>
    <w:rsid w:val="00482528"/>
    <w:rsid w:val="00483639"/>
    <w:rsid w:val="00484107"/>
    <w:rsid w:val="004849E8"/>
    <w:rsid w:val="00484F6A"/>
    <w:rsid w:val="00485A11"/>
    <w:rsid w:val="0048628F"/>
    <w:rsid w:val="00486E26"/>
    <w:rsid w:val="004875E7"/>
    <w:rsid w:val="004920D2"/>
    <w:rsid w:val="00492734"/>
    <w:rsid w:val="00495270"/>
    <w:rsid w:val="00495589"/>
    <w:rsid w:val="0049563B"/>
    <w:rsid w:val="0049601B"/>
    <w:rsid w:val="0049689C"/>
    <w:rsid w:val="004A1831"/>
    <w:rsid w:val="004A26A6"/>
    <w:rsid w:val="004A6EBB"/>
    <w:rsid w:val="004B48F9"/>
    <w:rsid w:val="004B664F"/>
    <w:rsid w:val="004B7C20"/>
    <w:rsid w:val="004B7E61"/>
    <w:rsid w:val="004C3AE1"/>
    <w:rsid w:val="004C5F31"/>
    <w:rsid w:val="004C75D6"/>
    <w:rsid w:val="004D022E"/>
    <w:rsid w:val="004D0ECD"/>
    <w:rsid w:val="004D48EB"/>
    <w:rsid w:val="004D76AF"/>
    <w:rsid w:val="004D7C81"/>
    <w:rsid w:val="004D7F65"/>
    <w:rsid w:val="004E05E6"/>
    <w:rsid w:val="004E1076"/>
    <w:rsid w:val="004E3526"/>
    <w:rsid w:val="004E3A16"/>
    <w:rsid w:val="004E54C2"/>
    <w:rsid w:val="004F0075"/>
    <w:rsid w:val="004F2B2B"/>
    <w:rsid w:val="004F519D"/>
    <w:rsid w:val="004F65FC"/>
    <w:rsid w:val="005012CC"/>
    <w:rsid w:val="00501818"/>
    <w:rsid w:val="005019BA"/>
    <w:rsid w:val="00502549"/>
    <w:rsid w:val="00506028"/>
    <w:rsid w:val="0051093E"/>
    <w:rsid w:val="00510C4C"/>
    <w:rsid w:val="005120A5"/>
    <w:rsid w:val="00514264"/>
    <w:rsid w:val="00516A74"/>
    <w:rsid w:val="005202EE"/>
    <w:rsid w:val="00520709"/>
    <w:rsid w:val="0052248B"/>
    <w:rsid w:val="00522E87"/>
    <w:rsid w:val="005267C1"/>
    <w:rsid w:val="00527BC3"/>
    <w:rsid w:val="00531CC4"/>
    <w:rsid w:val="005320D6"/>
    <w:rsid w:val="00534C62"/>
    <w:rsid w:val="005365B9"/>
    <w:rsid w:val="00537DC3"/>
    <w:rsid w:val="0054302B"/>
    <w:rsid w:val="005446B3"/>
    <w:rsid w:val="00545280"/>
    <w:rsid w:val="005457C7"/>
    <w:rsid w:val="005466C9"/>
    <w:rsid w:val="00546EFF"/>
    <w:rsid w:val="005472C8"/>
    <w:rsid w:val="00547711"/>
    <w:rsid w:val="0055139F"/>
    <w:rsid w:val="005521E1"/>
    <w:rsid w:val="005603C4"/>
    <w:rsid w:val="00563448"/>
    <w:rsid w:val="00563ABA"/>
    <w:rsid w:val="00565CB8"/>
    <w:rsid w:val="00565E19"/>
    <w:rsid w:val="0057172A"/>
    <w:rsid w:val="00573746"/>
    <w:rsid w:val="00573975"/>
    <w:rsid w:val="00573A82"/>
    <w:rsid w:val="005740A3"/>
    <w:rsid w:val="0057765D"/>
    <w:rsid w:val="0058540F"/>
    <w:rsid w:val="00586F5B"/>
    <w:rsid w:val="00586FF4"/>
    <w:rsid w:val="00590C91"/>
    <w:rsid w:val="00591E87"/>
    <w:rsid w:val="00591F4A"/>
    <w:rsid w:val="0059298D"/>
    <w:rsid w:val="005937B2"/>
    <w:rsid w:val="005941A7"/>
    <w:rsid w:val="00595BD2"/>
    <w:rsid w:val="00595F58"/>
    <w:rsid w:val="005964FA"/>
    <w:rsid w:val="00596E3D"/>
    <w:rsid w:val="005A0410"/>
    <w:rsid w:val="005A080D"/>
    <w:rsid w:val="005A2D3A"/>
    <w:rsid w:val="005A4DB6"/>
    <w:rsid w:val="005A590A"/>
    <w:rsid w:val="005A6889"/>
    <w:rsid w:val="005B1DBE"/>
    <w:rsid w:val="005B2325"/>
    <w:rsid w:val="005B2B27"/>
    <w:rsid w:val="005B2BD4"/>
    <w:rsid w:val="005C2A48"/>
    <w:rsid w:val="005C7424"/>
    <w:rsid w:val="005D039A"/>
    <w:rsid w:val="005D234F"/>
    <w:rsid w:val="005D44DC"/>
    <w:rsid w:val="005D4541"/>
    <w:rsid w:val="005D5093"/>
    <w:rsid w:val="005D66D9"/>
    <w:rsid w:val="005D67DC"/>
    <w:rsid w:val="005E1B0F"/>
    <w:rsid w:val="005E259F"/>
    <w:rsid w:val="005E3856"/>
    <w:rsid w:val="005E4B95"/>
    <w:rsid w:val="005F1748"/>
    <w:rsid w:val="005F3CE0"/>
    <w:rsid w:val="005F4566"/>
    <w:rsid w:val="005F5EAB"/>
    <w:rsid w:val="005F6D12"/>
    <w:rsid w:val="005F7CC3"/>
    <w:rsid w:val="00600E38"/>
    <w:rsid w:val="00600EC5"/>
    <w:rsid w:val="00601566"/>
    <w:rsid w:val="00602B69"/>
    <w:rsid w:val="0060318A"/>
    <w:rsid w:val="006046B2"/>
    <w:rsid w:val="00604D65"/>
    <w:rsid w:val="0060529A"/>
    <w:rsid w:val="00605755"/>
    <w:rsid w:val="00611F1A"/>
    <w:rsid w:val="00612C20"/>
    <w:rsid w:val="006141D5"/>
    <w:rsid w:val="00615576"/>
    <w:rsid w:val="00615588"/>
    <w:rsid w:val="00616364"/>
    <w:rsid w:val="00621F54"/>
    <w:rsid w:val="006234F6"/>
    <w:rsid w:val="00624943"/>
    <w:rsid w:val="006255F4"/>
    <w:rsid w:val="006265CE"/>
    <w:rsid w:val="00626882"/>
    <w:rsid w:val="0063207E"/>
    <w:rsid w:val="00632C18"/>
    <w:rsid w:val="00632E64"/>
    <w:rsid w:val="0063307E"/>
    <w:rsid w:val="00633964"/>
    <w:rsid w:val="0063699B"/>
    <w:rsid w:val="00636A93"/>
    <w:rsid w:val="00636BD2"/>
    <w:rsid w:val="00637B44"/>
    <w:rsid w:val="00644427"/>
    <w:rsid w:val="00651919"/>
    <w:rsid w:val="006528AE"/>
    <w:rsid w:val="00654D9F"/>
    <w:rsid w:val="00656326"/>
    <w:rsid w:val="00656AD3"/>
    <w:rsid w:val="006604D8"/>
    <w:rsid w:val="00661B13"/>
    <w:rsid w:val="00663283"/>
    <w:rsid w:val="00663725"/>
    <w:rsid w:val="00664795"/>
    <w:rsid w:val="006647A6"/>
    <w:rsid w:val="00666E09"/>
    <w:rsid w:val="0066780B"/>
    <w:rsid w:val="00667887"/>
    <w:rsid w:val="006700E0"/>
    <w:rsid w:val="00670E1E"/>
    <w:rsid w:val="00671080"/>
    <w:rsid w:val="00671B52"/>
    <w:rsid w:val="006738B3"/>
    <w:rsid w:val="00673B5E"/>
    <w:rsid w:val="0067415A"/>
    <w:rsid w:val="00674C20"/>
    <w:rsid w:val="0067783A"/>
    <w:rsid w:val="00677C17"/>
    <w:rsid w:val="006807CB"/>
    <w:rsid w:val="00680AD3"/>
    <w:rsid w:val="00680B13"/>
    <w:rsid w:val="00680C7B"/>
    <w:rsid w:val="006825E7"/>
    <w:rsid w:val="00683DF5"/>
    <w:rsid w:val="0068788B"/>
    <w:rsid w:val="00690640"/>
    <w:rsid w:val="00691ABE"/>
    <w:rsid w:val="00691AD5"/>
    <w:rsid w:val="00692082"/>
    <w:rsid w:val="006922FB"/>
    <w:rsid w:val="00692568"/>
    <w:rsid w:val="00695772"/>
    <w:rsid w:val="00695E40"/>
    <w:rsid w:val="006A0BE2"/>
    <w:rsid w:val="006A23B9"/>
    <w:rsid w:val="006A368F"/>
    <w:rsid w:val="006A3D26"/>
    <w:rsid w:val="006A3E78"/>
    <w:rsid w:val="006A4A6A"/>
    <w:rsid w:val="006A555B"/>
    <w:rsid w:val="006A5A19"/>
    <w:rsid w:val="006A6AE1"/>
    <w:rsid w:val="006B680C"/>
    <w:rsid w:val="006B75D3"/>
    <w:rsid w:val="006B7AA6"/>
    <w:rsid w:val="006B7D51"/>
    <w:rsid w:val="006C01D7"/>
    <w:rsid w:val="006C1ACF"/>
    <w:rsid w:val="006C383C"/>
    <w:rsid w:val="006C3C78"/>
    <w:rsid w:val="006C4235"/>
    <w:rsid w:val="006D039F"/>
    <w:rsid w:val="006D13B7"/>
    <w:rsid w:val="006D1879"/>
    <w:rsid w:val="006D2295"/>
    <w:rsid w:val="006D269E"/>
    <w:rsid w:val="006D579B"/>
    <w:rsid w:val="006D6C89"/>
    <w:rsid w:val="006E13B1"/>
    <w:rsid w:val="006E3EB8"/>
    <w:rsid w:val="006E4A48"/>
    <w:rsid w:val="006E5CCA"/>
    <w:rsid w:val="006E7819"/>
    <w:rsid w:val="006F1F01"/>
    <w:rsid w:val="006F51C1"/>
    <w:rsid w:val="006F7ABC"/>
    <w:rsid w:val="00700E3C"/>
    <w:rsid w:val="00701157"/>
    <w:rsid w:val="00701A3C"/>
    <w:rsid w:val="00701CEA"/>
    <w:rsid w:val="007024C9"/>
    <w:rsid w:val="00702E30"/>
    <w:rsid w:val="007039E8"/>
    <w:rsid w:val="00703DF7"/>
    <w:rsid w:val="00703F92"/>
    <w:rsid w:val="00703FA5"/>
    <w:rsid w:val="00705E5B"/>
    <w:rsid w:val="0070783A"/>
    <w:rsid w:val="00710D3E"/>
    <w:rsid w:val="007117A8"/>
    <w:rsid w:val="00711D42"/>
    <w:rsid w:val="00713124"/>
    <w:rsid w:val="00714670"/>
    <w:rsid w:val="00715BE0"/>
    <w:rsid w:val="00720D30"/>
    <w:rsid w:val="00720DFF"/>
    <w:rsid w:val="0072286E"/>
    <w:rsid w:val="00723D67"/>
    <w:rsid w:val="00724E90"/>
    <w:rsid w:val="007264F8"/>
    <w:rsid w:val="00727187"/>
    <w:rsid w:val="007311CC"/>
    <w:rsid w:val="007335E9"/>
    <w:rsid w:val="007348BE"/>
    <w:rsid w:val="00735602"/>
    <w:rsid w:val="00735853"/>
    <w:rsid w:val="0073669D"/>
    <w:rsid w:val="007371D0"/>
    <w:rsid w:val="007372F2"/>
    <w:rsid w:val="00737CBD"/>
    <w:rsid w:val="00740814"/>
    <w:rsid w:val="00741132"/>
    <w:rsid w:val="00741EB7"/>
    <w:rsid w:val="00742125"/>
    <w:rsid w:val="00743B95"/>
    <w:rsid w:val="00744944"/>
    <w:rsid w:val="00746305"/>
    <w:rsid w:val="0074767C"/>
    <w:rsid w:val="007478D1"/>
    <w:rsid w:val="007502BC"/>
    <w:rsid w:val="007525DD"/>
    <w:rsid w:val="0075264A"/>
    <w:rsid w:val="007537D0"/>
    <w:rsid w:val="00754247"/>
    <w:rsid w:val="00755E62"/>
    <w:rsid w:val="00755F99"/>
    <w:rsid w:val="007578A1"/>
    <w:rsid w:val="00757F76"/>
    <w:rsid w:val="00760758"/>
    <w:rsid w:val="00761103"/>
    <w:rsid w:val="007615AE"/>
    <w:rsid w:val="00761AFF"/>
    <w:rsid w:val="00761E35"/>
    <w:rsid w:val="007647F3"/>
    <w:rsid w:val="00766BE6"/>
    <w:rsid w:val="00767D4B"/>
    <w:rsid w:val="00770D91"/>
    <w:rsid w:val="0077109D"/>
    <w:rsid w:val="00771749"/>
    <w:rsid w:val="00771FAB"/>
    <w:rsid w:val="00772FE1"/>
    <w:rsid w:val="00773E47"/>
    <w:rsid w:val="00775F72"/>
    <w:rsid w:val="00776AD1"/>
    <w:rsid w:val="00785F68"/>
    <w:rsid w:val="00785FDB"/>
    <w:rsid w:val="00790ABA"/>
    <w:rsid w:val="00791634"/>
    <w:rsid w:val="00791A88"/>
    <w:rsid w:val="0079248E"/>
    <w:rsid w:val="007927D9"/>
    <w:rsid w:val="00793CB8"/>
    <w:rsid w:val="007943AC"/>
    <w:rsid w:val="0079458A"/>
    <w:rsid w:val="007959DE"/>
    <w:rsid w:val="00795C65"/>
    <w:rsid w:val="00796212"/>
    <w:rsid w:val="007A305D"/>
    <w:rsid w:val="007A3C86"/>
    <w:rsid w:val="007A4039"/>
    <w:rsid w:val="007A57AC"/>
    <w:rsid w:val="007A7663"/>
    <w:rsid w:val="007B16CE"/>
    <w:rsid w:val="007B1BBC"/>
    <w:rsid w:val="007B2511"/>
    <w:rsid w:val="007B2C4B"/>
    <w:rsid w:val="007B438D"/>
    <w:rsid w:val="007B73F4"/>
    <w:rsid w:val="007C00EB"/>
    <w:rsid w:val="007C2923"/>
    <w:rsid w:val="007C3315"/>
    <w:rsid w:val="007C4E67"/>
    <w:rsid w:val="007C670F"/>
    <w:rsid w:val="007C72A1"/>
    <w:rsid w:val="007D5DA1"/>
    <w:rsid w:val="007D6A0B"/>
    <w:rsid w:val="007E01FD"/>
    <w:rsid w:val="007E06A8"/>
    <w:rsid w:val="007E16A0"/>
    <w:rsid w:val="007E24DE"/>
    <w:rsid w:val="007E2E4C"/>
    <w:rsid w:val="007E6D92"/>
    <w:rsid w:val="007F0348"/>
    <w:rsid w:val="007F2124"/>
    <w:rsid w:val="007F2211"/>
    <w:rsid w:val="007F23FD"/>
    <w:rsid w:val="007F30B8"/>
    <w:rsid w:val="007F3166"/>
    <w:rsid w:val="007F33B7"/>
    <w:rsid w:val="007F422C"/>
    <w:rsid w:val="007F4644"/>
    <w:rsid w:val="007F486E"/>
    <w:rsid w:val="007F537B"/>
    <w:rsid w:val="007F7374"/>
    <w:rsid w:val="007F73CF"/>
    <w:rsid w:val="00802428"/>
    <w:rsid w:val="00802F60"/>
    <w:rsid w:val="00803FCF"/>
    <w:rsid w:val="0080479E"/>
    <w:rsid w:val="0080719D"/>
    <w:rsid w:val="00814033"/>
    <w:rsid w:val="00814649"/>
    <w:rsid w:val="008163D0"/>
    <w:rsid w:val="00817677"/>
    <w:rsid w:val="008218C9"/>
    <w:rsid w:val="00822E56"/>
    <w:rsid w:val="008231E9"/>
    <w:rsid w:val="00824F3F"/>
    <w:rsid w:val="008262C9"/>
    <w:rsid w:val="0082792D"/>
    <w:rsid w:val="00830704"/>
    <w:rsid w:val="008316F1"/>
    <w:rsid w:val="00834457"/>
    <w:rsid w:val="0083536B"/>
    <w:rsid w:val="00837292"/>
    <w:rsid w:val="008375AB"/>
    <w:rsid w:val="008378D6"/>
    <w:rsid w:val="00840317"/>
    <w:rsid w:val="00840E43"/>
    <w:rsid w:val="008420B4"/>
    <w:rsid w:val="00843FA1"/>
    <w:rsid w:val="00844640"/>
    <w:rsid w:val="00845C31"/>
    <w:rsid w:val="00846656"/>
    <w:rsid w:val="008472EA"/>
    <w:rsid w:val="0085048D"/>
    <w:rsid w:val="008518DD"/>
    <w:rsid w:val="00851EF6"/>
    <w:rsid w:val="00854D5C"/>
    <w:rsid w:val="008552AC"/>
    <w:rsid w:val="008554DD"/>
    <w:rsid w:val="008561A0"/>
    <w:rsid w:val="0085758A"/>
    <w:rsid w:val="00857738"/>
    <w:rsid w:val="00860DFA"/>
    <w:rsid w:val="00862E65"/>
    <w:rsid w:val="008633DD"/>
    <w:rsid w:val="00863C66"/>
    <w:rsid w:val="00864192"/>
    <w:rsid w:val="008656FB"/>
    <w:rsid w:val="0086594C"/>
    <w:rsid w:val="008668ED"/>
    <w:rsid w:val="00870E02"/>
    <w:rsid w:val="00871190"/>
    <w:rsid w:val="0087199B"/>
    <w:rsid w:val="00871D73"/>
    <w:rsid w:val="00872311"/>
    <w:rsid w:val="00875170"/>
    <w:rsid w:val="00875EFC"/>
    <w:rsid w:val="008768F3"/>
    <w:rsid w:val="008810AB"/>
    <w:rsid w:val="00881A23"/>
    <w:rsid w:val="00882025"/>
    <w:rsid w:val="0088222A"/>
    <w:rsid w:val="008823FA"/>
    <w:rsid w:val="008830D9"/>
    <w:rsid w:val="008841CC"/>
    <w:rsid w:val="00885F82"/>
    <w:rsid w:val="008861C5"/>
    <w:rsid w:val="0089260C"/>
    <w:rsid w:val="0089329F"/>
    <w:rsid w:val="0089355E"/>
    <w:rsid w:val="00893934"/>
    <w:rsid w:val="008946E8"/>
    <w:rsid w:val="0089535A"/>
    <w:rsid w:val="0089625C"/>
    <w:rsid w:val="00896C6F"/>
    <w:rsid w:val="008A3EF6"/>
    <w:rsid w:val="008A4037"/>
    <w:rsid w:val="008B4558"/>
    <w:rsid w:val="008B7224"/>
    <w:rsid w:val="008B7AFF"/>
    <w:rsid w:val="008C090A"/>
    <w:rsid w:val="008C1950"/>
    <w:rsid w:val="008C1DB0"/>
    <w:rsid w:val="008C1E27"/>
    <w:rsid w:val="008C2D51"/>
    <w:rsid w:val="008C4BAF"/>
    <w:rsid w:val="008C6DB1"/>
    <w:rsid w:val="008D0984"/>
    <w:rsid w:val="008D14FE"/>
    <w:rsid w:val="008D2F17"/>
    <w:rsid w:val="008D40C3"/>
    <w:rsid w:val="008D4B66"/>
    <w:rsid w:val="008D56DF"/>
    <w:rsid w:val="008D5889"/>
    <w:rsid w:val="008D7FDF"/>
    <w:rsid w:val="008E13B6"/>
    <w:rsid w:val="008E1647"/>
    <w:rsid w:val="008E289B"/>
    <w:rsid w:val="008E40F4"/>
    <w:rsid w:val="008E7BB5"/>
    <w:rsid w:val="008F001C"/>
    <w:rsid w:val="008F019B"/>
    <w:rsid w:val="008F0DCD"/>
    <w:rsid w:val="008F1CE9"/>
    <w:rsid w:val="008F1D6C"/>
    <w:rsid w:val="008F25B7"/>
    <w:rsid w:val="008F3345"/>
    <w:rsid w:val="008F3C7C"/>
    <w:rsid w:val="008F61FF"/>
    <w:rsid w:val="0090058B"/>
    <w:rsid w:val="00903305"/>
    <w:rsid w:val="00903F24"/>
    <w:rsid w:val="0090496B"/>
    <w:rsid w:val="009072F0"/>
    <w:rsid w:val="00911CD6"/>
    <w:rsid w:val="00911E55"/>
    <w:rsid w:val="00911FEA"/>
    <w:rsid w:val="00913311"/>
    <w:rsid w:val="00915E6E"/>
    <w:rsid w:val="00916611"/>
    <w:rsid w:val="00916C2E"/>
    <w:rsid w:val="00916E63"/>
    <w:rsid w:val="0092369C"/>
    <w:rsid w:val="00924437"/>
    <w:rsid w:val="009262B6"/>
    <w:rsid w:val="0092693A"/>
    <w:rsid w:val="00926AD2"/>
    <w:rsid w:val="00927751"/>
    <w:rsid w:val="00930D3F"/>
    <w:rsid w:val="0093265A"/>
    <w:rsid w:val="00932D3C"/>
    <w:rsid w:val="00932E53"/>
    <w:rsid w:val="0093656D"/>
    <w:rsid w:val="00936E0F"/>
    <w:rsid w:val="00946AEB"/>
    <w:rsid w:val="00947660"/>
    <w:rsid w:val="009477FF"/>
    <w:rsid w:val="00947B29"/>
    <w:rsid w:val="00950280"/>
    <w:rsid w:val="00951AE2"/>
    <w:rsid w:val="00952335"/>
    <w:rsid w:val="0095243C"/>
    <w:rsid w:val="00953892"/>
    <w:rsid w:val="00953D61"/>
    <w:rsid w:val="00956FBA"/>
    <w:rsid w:val="00957214"/>
    <w:rsid w:val="00961E47"/>
    <w:rsid w:val="0096359A"/>
    <w:rsid w:val="00964707"/>
    <w:rsid w:val="00964CAF"/>
    <w:rsid w:val="00967CFE"/>
    <w:rsid w:val="00967F12"/>
    <w:rsid w:val="0097075D"/>
    <w:rsid w:val="00971237"/>
    <w:rsid w:val="00973957"/>
    <w:rsid w:val="00976865"/>
    <w:rsid w:val="0097702E"/>
    <w:rsid w:val="009772EC"/>
    <w:rsid w:val="00977EBD"/>
    <w:rsid w:val="00980AE0"/>
    <w:rsid w:val="00980C52"/>
    <w:rsid w:val="00981520"/>
    <w:rsid w:val="00984694"/>
    <w:rsid w:val="00984792"/>
    <w:rsid w:val="009856E8"/>
    <w:rsid w:val="0098759E"/>
    <w:rsid w:val="009905BB"/>
    <w:rsid w:val="00990FB6"/>
    <w:rsid w:val="00993341"/>
    <w:rsid w:val="00994E73"/>
    <w:rsid w:val="00995B70"/>
    <w:rsid w:val="00996170"/>
    <w:rsid w:val="009A09D1"/>
    <w:rsid w:val="009A27D4"/>
    <w:rsid w:val="009A5BC5"/>
    <w:rsid w:val="009A74E0"/>
    <w:rsid w:val="009B016E"/>
    <w:rsid w:val="009B4A63"/>
    <w:rsid w:val="009B7963"/>
    <w:rsid w:val="009C02E8"/>
    <w:rsid w:val="009C0360"/>
    <w:rsid w:val="009C202D"/>
    <w:rsid w:val="009C57C9"/>
    <w:rsid w:val="009D080B"/>
    <w:rsid w:val="009D10A5"/>
    <w:rsid w:val="009D1817"/>
    <w:rsid w:val="009D61A7"/>
    <w:rsid w:val="009D66D3"/>
    <w:rsid w:val="009D7456"/>
    <w:rsid w:val="009D74A4"/>
    <w:rsid w:val="009D7D06"/>
    <w:rsid w:val="009E293D"/>
    <w:rsid w:val="009E3858"/>
    <w:rsid w:val="009E399F"/>
    <w:rsid w:val="009E3C78"/>
    <w:rsid w:val="009E4214"/>
    <w:rsid w:val="009E6110"/>
    <w:rsid w:val="009E6BAC"/>
    <w:rsid w:val="009E77AA"/>
    <w:rsid w:val="009F22E4"/>
    <w:rsid w:val="009F234C"/>
    <w:rsid w:val="009F4BBD"/>
    <w:rsid w:val="009F505B"/>
    <w:rsid w:val="00A01B73"/>
    <w:rsid w:val="00A0206C"/>
    <w:rsid w:val="00A031A7"/>
    <w:rsid w:val="00A03CB1"/>
    <w:rsid w:val="00A047E7"/>
    <w:rsid w:val="00A05225"/>
    <w:rsid w:val="00A06C14"/>
    <w:rsid w:val="00A11443"/>
    <w:rsid w:val="00A125B0"/>
    <w:rsid w:val="00A13668"/>
    <w:rsid w:val="00A14DF2"/>
    <w:rsid w:val="00A16911"/>
    <w:rsid w:val="00A171BF"/>
    <w:rsid w:val="00A171FA"/>
    <w:rsid w:val="00A17AF5"/>
    <w:rsid w:val="00A17C03"/>
    <w:rsid w:val="00A20CBB"/>
    <w:rsid w:val="00A218AA"/>
    <w:rsid w:val="00A242CA"/>
    <w:rsid w:val="00A25090"/>
    <w:rsid w:val="00A250CE"/>
    <w:rsid w:val="00A268A1"/>
    <w:rsid w:val="00A27552"/>
    <w:rsid w:val="00A317BB"/>
    <w:rsid w:val="00A3482C"/>
    <w:rsid w:val="00A348D7"/>
    <w:rsid w:val="00A42C90"/>
    <w:rsid w:val="00A43150"/>
    <w:rsid w:val="00A47E3F"/>
    <w:rsid w:val="00A50428"/>
    <w:rsid w:val="00A51209"/>
    <w:rsid w:val="00A521AF"/>
    <w:rsid w:val="00A545B0"/>
    <w:rsid w:val="00A54D5E"/>
    <w:rsid w:val="00A54E18"/>
    <w:rsid w:val="00A60535"/>
    <w:rsid w:val="00A632C8"/>
    <w:rsid w:val="00A63EE9"/>
    <w:rsid w:val="00A6455B"/>
    <w:rsid w:val="00A65362"/>
    <w:rsid w:val="00A65C45"/>
    <w:rsid w:val="00A7081E"/>
    <w:rsid w:val="00A71F6D"/>
    <w:rsid w:val="00A7275F"/>
    <w:rsid w:val="00A73794"/>
    <w:rsid w:val="00A748A1"/>
    <w:rsid w:val="00A763A8"/>
    <w:rsid w:val="00A8069B"/>
    <w:rsid w:val="00A80D03"/>
    <w:rsid w:val="00A8165E"/>
    <w:rsid w:val="00A83697"/>
    <w:rsid w:val="00A867DD"/>
    <w:rsid w:val="00A91AD7"/>
    <w:rsid w:val="00A91FB5"/>
    <w:rsid w:val="00A9280D"/>
    <w:rsid w:val="00A93319"/>
    <w:rsid w:val="00A96ABE"/>
    <w:rsid w:val="00A96CE3"/>
    <w:rsid w:val="00AA09B7"/>
    <w:rsid w:val="00AA28C4"/>
    <w:rsid w:val="00AA5202"/>
    <w:rsid w:val="00AA7805"/>
    <w:rsid w:val="00AB26F0"/>
    <w:rsid w:val="00AB35A0"/>
    <w:rsid w:val="00AB42B8"/>
    <w:rsid w:val="00AB54E0"/>
    <w:rsid w:val="00AB5E57"/>
    <w:rsid w:val="00AB6235"/>
    <w:rsid w:val="00AB7C45"/>
    <w:rsid w:val="00AC001F"/>
    <w:rsid w:val="00AC0ED5"/>
    <w:rsid w:val="00AC15BB"/>
    <w:rsid w:val="00AC2262"/>
    <w:rsid w:val="00AC288F"/>
    <w:rsid w:val="00AC3A9B"/>
    <w:rsid w:val="00AC45BD"/>
    <w:rsid w:val="00AC51F3"/>
    <w:rsid w:val="00AC640D"/>
    <w:rsid w:val="00AD15BC"/>
    <w:rsid w:val="00AD15D9"/>
    <w:rsid w:val="00AD27E5"/>
    <w:rsid w:val="00AD282E"/>
    <w:rsid w:val="00AE0104"/>
    <w:rsid w:val="00AE2584"/>
    <w:rsid w:val="00AE323F"/>
    <w:rsid w:val="00AE466C"/>
    <w:rsid w:val="00AE6378"/>
    <w:rsid w:val="00AE7622"/>
    <w:rsid w:val="00AE7689"/>
    <w:rsid w:val="00AF0AED"/>
    <w:rsid w:val="00AF259A"/>
    <w:rsid w:val="00AF28C9"/>
    <w:rsid w:val="00AF49BF"/>
    <w:rsid w:val="00AF5EA6"/>
    <w:rsid w:val="00B01130"/>
    <w:rsid w:val="00B016EC"/>
    <w:rsid w:val="00B01D70"/>
    <w:rsid w:val="00B0502A"/>
    <w:rsid w:val="00B050CE"/>
    <w:rsid w:val="00B05347"/>
    <w:rsid w:val="00B05847"/>
    <w:rsid w:val="00B160EE"/>
    <w:rsid w:val="00B178AB"/>
    <w:rsid w:val="00B179E3"/>
    <w:rsid w:val="00B20FC1"/>
    <w:rsid w:val="00B22684"/>
    <w:rsid w:val="00B23F47"/>
    <w:rsid w:val="00B24036"/>
    <w:rsid w:val="00B2466B"/>
    <w:rsid w:val="00B246EA"/>
    <w:rsid w:val="00B266E0"/>
    <w:rsid w:val="00B3179C"/>
    <w:rsid w:val="00B317B9"/>
    <w:rsid w:val="00B3273A"/>
    <w:rsid w:val="00B33DD2"/>
    <w:rsid w:val="00B41A6A"/>
    <w:rsid w:val="00B42936"/>
    <w:rsid w:val="00B4356E"/>
    <w:rsid w:val="00B436C8"/>
    <w:rsid w:val="00B43AB8"/>
    <w:rsid w:val="00B44990"/>
    <w:rsid w:val="00B46296"/>
    <w:rsid w:val="00B465FF"/>
    <w:rsid w:val="00B46660"/>
    <w:rsid w:val="00B5053F"/>
    <w:rsid w:val="00B509D9"/>
    <w:rsid w:val="00B548E0"/>
    <w:rsid w:val="00B54CCD"/>
    <w:rsid w:val="00B55764"/>
    <w:rsid w:val="00B5743B"/>
    <w:rsid w:val="00B6045E"/>
    <w:rsid w:val="00B64457"/>
    <w:rsid w:val="00B64F09"/>
    <w:rsid w:val="00B65401"/>
    <w:rsid w:val="00B65969"/>
    <w:rsid w:val="00B65C59"/>
    <w:rsid w:val="00B6664D"/>
    <w:rsid w:val="00B67755"/>
    <w:rsid w:val="00B70D4F"/>
    <w:rsid w:val="00B70E7C"/>
    <w:rsid w:val="00B71CA0"/>
    <w:rsid w:val="00B72754"/>
    <w:rsid w:val="00B75CD3"/>
    <w:rsid w:val="00B763C5"/>
    <w:rsid w:val="00B76770"/>
    <w:rsid w:val="00B76F23"/>
    <w:rsid w:val="00B77CF0"/>
    <w:rsid w:val="00B802C7"/>
    <w:rsid w:val="00B802C9"/>
    <w:rsid w:val="00B804B2"/>
    <w:rsid w:val="00B815BA"/>
    <w:rsid w:val="00B81AF9"/>
    <w:rsid w:val="00B822E4"/>
    <w:rsid w:val="00B82E99"/>
    <w:rsid w:val="00B835B8"/>
    <w:rsid w:val="00B8524A"/>
    <w:rsid w:val="00B85B6C"/>
    <w:rsid w:val="00B867A4"/>
    <w:rsid w:val="00B8719C"/>
    <w:rsid w:val="00B9152B"/>
    <w:rsid w:val="00B920DF"/>
    <w:rsid w:val="00B948C3"/>
    <w:rsid w:val="00B972B6"/>
    <w:rsid w:val="00BA042C"/>
    <w:rsid w:val="00BA04E2"/>
    <w:rsid w:val="00BA06F8"/>
    <w:rsid w:val="00BA1927"/>
    <w:rsid w:val="00BA1D3C"/>
    <w:rsid w:val="00BA3378"/>
    <w:rsid w:val="00BA42A4"/>
    <w:rsid w:val="00BA4395"/>
    <w:rsid w:val="00BA484C"/>
    <w:rsid w:val="00BA4A9D"/>
    <w:rsid w:val="00BA6539"/>
    <w:rsid w:val="00BA6934"/>
    <w:rsid w:val="00BA70A9"/>
    <w:rsid w:val="00BA7257"/>
    <w:rsid w:val="00BA7B40"/>
    <w:rsid w:val="00BB2127"/>
    <w:rsid w:val="00BB22BA"/>
    <w:rsid w:val="00BB2AE3"/>
    <w:rsid w:val="00BB3EFC"/>
    <w:rsid w:val="00BB3F6B"/>
    <w:rsid w:val="00BB46D9"/>
    <w:rsid w:val="00BB5251"/>
    <w:rsid w:val="00BB5F4C"/>
    <w:rsid w:val="00BB6240"/>
    <w:rsid w:val="00BB7A72"/>
    <w:rsid w:val="00BB7B1E"/>
    <w:rsid w:val="00BC0691"/>
    <w:rsid w:val="00BC1171"/>
    <w:rsid w:val="00BC160C"/>
    <w:rsid w:val="00BC1A95"/>
    <w:rsid w:val="00BC30A5"/>
    <w:rsid w:val="00BC3AED"/>
    <w:rsid w:val="00BC4812"/>
    <w:rsid w:val="00BC5580"/>
    <w:rsid w:val="00BC582C"/>
    <w:rsid w:val="00BC7450"/>
    <w:rsid w:val="00BC785D"/>
    <w:rsid w:val="00BD119F"/>
    <w:rsid w:val="00BD15BF"/>
    <w:rsid w:val="00BD62BA"/>
    <w:rsid w:val="00BD7691"/>
    <w:rsid w:val="00BE0C16"/>
    <w:rsid w:val="00BE0F95"/>
    <w:rsid w:val="00BE133E"/>
    <w:rsid w:val="00BE13CA"/>
    <w:rsid w:val="00BE1A35"/>
    <w:rsid w:val="00BE1A88"/>
    <w:rsid w:val="00BE1C19"/>
    <w:rsid w:val="00BE210E"/>
    <w:rsid w:val="00BE246C"/>
    <w:rsid w:val="00BE2DE4"/>
    <w:rsid w:val="00BE4196"/>
    <w:rsid w:val="00BE5814"/>
    <w:rsid w:val="00BF0912"/>
    <w:rsid w:val="00BF20EC"/>
    <w:rsid w:val="00BF3BC7"/>
    <w:rsid w:val="00BF76F4"/>
    <w:rsid w:val="00C02F4E"/>
    <w:rsid w:val="00C05EC1"/>
    <w:rsid w:val="00C07013"/>
    <w:rsid w:val="00C073F3"/>
    <w:rsid w:val="00C10B7A"/>
    <w:rsid w:val="00C10DF9"/>
    <w:rsid w:val="00C12E00"/>
    <w:rsid w:val="00C14F0A"/>
    <w:rsid w:val="00C1647D"/>
    <w:rsid w:val="00C21BA3"/>
    <w:rsid w:val="00C23B4E"/>
    <w:rsid w:val="00C23C77"/>
    <w:rsid w:val="00C24336"/>
    <w:rsid w:val="00C250E9"/>
    <w:rsid w:val="00C2512C"/>
    <w:rsid w:val="00C271C0"/>
    <w:rsid w:val="00C27D40"/>
    <w:rsid w:val="00C327CC"/>
    <w:rsid w:val="00C3702D"/>
    <w:rsid w:val="00C40C10"/>
    <w:rsid w:val="00C41CFC"/>
    <w:rsid w:val="00C42255"/>
    <w:rsid w:val="00C442F9"/>
    <w:rsid w:val="00C453DE"/>
    <w:rsid w:val="00C45F15"/>
    <w:rsid w:val="00C47A48"/>
    <w:rsid w:val="00C509EC"/>
    <w:rsid w:val="00C50B2D"/>
    <w:rsid w:val="00C5136C"/>
    <w:rsid w:val="00C53E00"/>
    <w:rsid w:val="00C54396"/>
    <w:rsid w:val="00C553DF"/>
    <w:rsid w:val="00C56FAB"/>
    <w:rsid w:val="00C60E05"/>
    <w:rsid w:val="00C615B6"/>
    <w:rsid w:val="00C6292B"/>
    <w:rsid w:val="00C641BA"/>
    <w:rsid w:val="00C6430F"/>
    <w:rsid w:val="00C64A14"/>
    <w:rsid w:val="00C70245"/>
    <w:rsid w:val="00C72EB9"/>
    <w:rsid w:val="00C735C4"/>
    <w:rsid w:val="00C751D7"/>
    <w:rsid w:val="00C755CF"/>
    <w:rsid w:val="00C76296"/>
    <w:rsid w:val="00C76EC1"/>
    <w:rsid w:val="00C77CD0"/>
    <w:rsid w:val="00C817A5"/>
    <w:rsid w:val="00C82437"/>
    <w:rsid w:val="00C82960"/>
    <w:rsid w:val="00C857DF"/>
    <w:rsid w:val="00C872B0"/>
    <w:rsid w:val="00C9136D"/>
    <w:rsid w:val="00C91B0E"/>
    <w:rsid w:val="00C9273D"/>
    <w:rsid w:val="00C93151"/>
    <w:rsid w:val="00C93606"/>
    <w:rsid w:val="00C97A56"/>
    <w:rsid w:val="00CA313B"/>
    <w:rsid w:val="00CA63BB"/>
    <w:rsid w:val="00CA7A6F"/>
    <w:rsid w:val="00CB1FC6"/>
    <w:rsid w:val="00CB4506"/>
    <w:rsid w:val="00CB578F"/>
    <w:rsid w:val="00CB66E5"/>
    <w:rsid w:val="00CC4887"/>
    <w:rsid w:val="00CC55FE"/>
    <w:rsid w:val="00CC5994"/>
    <w:rsid w:val="00CD01D0"/>
    <w:rsid w:val="00CD1699"/>
    <w:rsid w:val="00CD2376"/>
    <w:rsid w:val="00CD24FC"/>
    <w:rsid w:val="00CD308C"/>
    <w:rsid w:val="00CD32BB"/>
    <w:rsid w:val="00CD33AC"/>
    <w:rsid w:val="00CD4680"/>
    <w:rsid w:val="00CD47F5"/>
    <w:rsid w:val="00CD4943"/>
    <w:rsid w:val="00CD5185"/>
    <w:rsid w:val="00CD6114"/>
    <w:rsid w:val="00CD6C45"/>
    <w:rsid w:val="00CE0AA7"/>
    <w:rsid w:val="00CE115B"/>
    <w:rsid w:val="00CE21B1"/>
    <w:rsid w:val="00CE5427"/>
    <w:rsid w:val="00CE79B8"/>
    <w:rsid w:val="00CF1213"/>
    <w:rsid w:val="00CF264B"/>
    <w:rsid w:val="00CF5758"/>
    <w:rsid w:val="00CF5949"/>
    <w:rsid w:val="00CF625B"/>
    <w:rsid w:val="00CF6BCA"/>
    <w:rsid w:val="00D00F9E"/>
    <w:rsid w:val="00D02995"/>
    <w:rsid w:val="00D02A30"/>
    <w:rsid w:val="00D04261"/>
    <w:rsid w:val="00D05CD5"/>
    <w:rsid w:val="00D07702"/>
    <w:rsid w:val="00D1080D"/>
    <w:rsid w:val="00D10C28"/>
    <w:rsid w:val="00D15B58"/>
    <w:rsid w:val="00D215B3"/>
    <w:rsid w:val="00D21627"/>
    <w:rsid w:val="00D2624E"/>
    <w:rsid w:val="00D27CD7"/>
    <w:rsid w:val="00D30287"/>
    <w:rsid w:val="00D31F53"/>
    <w:rsid w:val="00D33517"/>
    <w:rsid w:val="00D35407"/>
    <w:rsid w:val="00D355A4"/>
    <w:rsid w:val="00D368D9"/>
    <w:rsid w:val="00D37BD9"/>
    <w:rsid w:val="00D40162"/>
    <w:rsid w:val="00D40D72"/>
    <w:rsid w:val="00D41565"/>
    <w:rsid w:val="00D426FF"/>
    <w:rsid w:val="00D436C8"/>
    <w:rsid w:val="00D45ABB"/>
    <w:rsid w:val="00D5276C"/>
    <w:rsid w:val="00D52877"/>
    <w:rsid w:val="00D53468"/>
    <w:rsid w:val="00D5349B"/>
    <w:rsid w:val="00D53DE6"/>
    <w:rsid w:val="00D54AE7"/>
    <w:rsid w:val="00D56060"/>
    <w:rsid w:val="00D638AD"/>
    <w:rsid w:val="00D640C4"/>
    <w:rsid w:val="00D64628"/>
    <w:rsid w:val="00D6494D"/>
    <w:rsid w:val="00D64A63"/>
    <w:rsid w:val="00D64DB9"/>
    <w:rsid w:val="00D64F3C"/>
    <w:rsid w:val="00D65A4E"/>
    <w:rsid w:val="00D67651"/>
    <w:rsid w:val="00D71751"/>
    <w:rsid w:val="00D734C3"/>
    <w:rsid w:val="00D76796"/>
    <w:rsid w:val="00D76F55"/>
    <w:rsid w:val="00D814FB"/>
    <w:rsid w:val="00D8217F"/>
    <w:rsid w:val="00D832E4"/>
    <w:rsid w:val="00D83E9C"/>
    <w:rsid w:val="00D84C84"/>
    <w:rsid w:val="00D87AE0"/>
    <w:rsid w:val="00D908CF"/>
    <w:rsid w:val="00D9470D"/>
    <w:rsid w:val="00D94BD9"/>
    <w:rsid w:val="00D96446"/>
    <w:rsid w:val="00D974B2"/>
    <w:rsid w:val="00D9767C"/>
    <w:rsid w:val="00DA0BF9"/>
    <w:rsid w:val="00DA0C86"/>
    <w:rsid w:val="00DA10B5"/>
    <w:rsid w:val="00DA1C00"/>
    <w:rsid w:val="00DA2540"/>
    <w:rsid w:val="00DA2F85"/>
    <w:rsid w:val="00DA3F6C"/>
    <w:rsid w:val="00DA4427"/>
    <w:rsid w:val="00DB0EF1"/>
    <w:rsid w:val="00DB1EB0"/>
    <w:rsid w:val="00DB3C67"/>
    <w:rsid w:val="00DB3FD2"/>
    <w:rsid w:val="00DB491B"/>
    <w:rsid w:val="00DC0625"/>
    <w:rsid w:val="00DC0E55"/>
    <w:rsid w:val="00DC39A4"/>
    <w:rsid w:val="00DC44EB"/>
    <w:rsid w:val="00DC66B7"/>
    <w:rsid w:val="00DC74D5"/>
    <w:rsid w:val="00DC7FBE"/>
    <w:rsid w:val="00DD01C8"/>
    <w:rsid w:val="00DD2038"/>
    <w:rsid w:val="00DD282D"/>
    <w:rsid w:val="00DD4151"/>
    <w:rsid w:val="00DD482E"/>
    <w:rsid w:val="00DD5C84"/>
    <w:rsid w:val="00DD7455"/>
    <w:rsid w:val="00DD7478"/>
    <w:rsid w:val="00DE12F3"/>
    <w:rsid w:val="00DE2E1E"/>
    <w:rsid w:val="00DE445E"/>
    <w:rsid w:val="00DE498A"/>
    <w:rsid w:val="00DE5EF8"/>
    <w:rsid w:val="00DE657C"/>
    <w:rsid w:val="00DF0A19"/>
    <w:rsid w:val="00DF0B08"/>
    <w:rsid w:val="00DF11C3"/>
    <w:rsid w:val="00DF2C50"/>
    <w:rsid w:val="00DF2D3A"/>
    <w:rsid w:val="00DF4A16"/>
    <w:rsid w:val="00DF553C"/>
    <w:rsid w:val="00DF760A"/>
    <w:rsid w:val="00E002DF"/>
    <w:rsid w:val="00E00CE0"/>
    <w:rsid w:val="00E03E06"/>
    <w:rsid w:val="00E04E4D"/>
    <w:rsid w:val="00E1090B"/>
    <w:rsid w:val="00E10FF1"/>
    <w:rsid w:val="00E11B99"/>
    <w:rsid w:val="00E16025"/>
    <w:rsid w:val="00E17D45"/>
    <w:rsid w:val="00E20C17"/>
    <w:rsid w:val="00E21AA5"/>
    <w:rsid w:val="00E21CF3"/>
    <w:rsid w:val="00E21EFB"/>
    <w:rsid w:val="00E225D8"/>
    <w:rsid w:val="00E22B8A"/>
    <w:rsid w:val="00E2521A"/>
    <w:rsid w:val="00E25818"/>
    <w:rsid w:val="00E30AA3"/>
    <w:rsid w:val="00E30C92"/>
    <w:rsid w:val="00E30F0B"/>
    <w:rsid w:val="00E31E14"/>
    <w:rsid w:val="00E32CB4"/>
    <w:rsid w:val="00E33107"/>
    <w:rsid w:val="00E3394A"/>
    <w:rsid w:val="00E3461A"/>
    <w:rsid w:val="00E36828"/>
    <w:rsid w:val="00E42A68"/>
    <w:rsid w:val="00E440B0"/>
    <w:rsid w:val="00E45FC8"/>
    <w:rsid w:val="00E500A8"/>
    <w:rsid w:val="00E51D9D"/>
    <w:rsid w:val="00E52BAF"/>
    <w:rsid w:val="00E52D60"/>
    <w:rsid w:val="00E53785"/>
    <w:rsid w:val="00E54D4C"/>
    <w:rsid w:val="00E55E6B"/>
    <w:rsid w:val="00E5712C"/>
    <w:rsid w:val="00E60317"/>
    <w:rsid w:val="00E60C0D"/>
    <w:rsid w:val="00E613FA"/>
    <w:rsid w:val="00E617C8"/>
    <w:rsid w:val="00E617D1"/>
    <w:rsid w:val="00E62DEC"/>
    <w:rsid w:val="00E63E90"/>
    <w:rsid w:val="00E646EB"/>
    <w:rsid w:val="00E6483C"/>
    <w:rsid w:val="00E6486C"/>
    <w:rsid w:val="00E64BAB"/>
    <w:rsid w:val="00E658ED"/>
    <w:rsid w:val="00E66D98"/>
    <w:rsid w:val="00E66FA4"/>
    <w:rsid w:val="00E70F4D"/>
    <w:rsid w:val="00E71279"/>
    <w:rsid w:val="00E731C1"/>
    <w:rsid w:val="00E74349"/>
    <w:rsid w:val="00E74AB5"/>
    <w:rsid w:val="00E74DFE"/>
    <w:rsid w:val="00E80BAA"/>
    <w:rsid w:val="00E815DF"/>
    <w:rsid w:val="00E81A74"/>
    <w:rsid w:val="00E81C96"/>
    <w:rsid w:val="00E82A7B"/>
    <w:rsid w:val="00E853F0"/>
    <w:rsid w:val="00E853F7"/>
    <w:rsid w:val="00E85DDE"/>
    <w:rsid w:val="00E8797E"/>
    <w:rsid w:val="00E90E4C"/>
    <w:rsid w:val="00E91AC9"/>
    <w:rsid w:val="00E9255E"/>
    <w:rsid w:val="00E93275"/>
    <w:rsid w:val="00E9362B"/>
    <w:rsid w:val="00E94589"/>
    <w:rsid w:val="00E955BD"/>
    <w:rsid w:val="00E96739"/>
    <w:rsid w:val="00E9729F"/>
    <w:rsid w:val="00EA0124"/>
    <w:rsid w:val="00EA1A87"/>
    <w:rsid w:val="00EA3A3C"/>
    <w:rsid w:val="00EA4007"/>
    <w:rsid w:val="00EA41D9"/>
    <w:rsid w:val="00EA532A"/>
    <w:rsid w:val="00EA58AC"/>
    <w:rsid w:val="00EA5A59"/>
    <w:rsid w:val="00EA5B7E"/>
    <w:rsid w:val="00EA5D26"/>
    <w:rsid w:val="00EA72A4"/>
    <w:rsid w:val="00EA7989"/>
    <w:rsid w:val="00EA7B36"/>
    <w:rsid w:val="00EB0829"/>
    <w:rsid w:val="00EB3083"/>
    <w:rsid w:val="00EB3477"/>
    <w:rsid w:val="00EB4FA1"/>
    <w:rsid w:val="00EB51F6"/>
    <w:rsid w:val="00EB5F94"/>
    <w:rsid w:val="00EB669C"/>
    <w:rsid w:val="00EC044E"/>
    <w:rsid w:val="00EC04B9"/>
    <w:rsid w:val="00EC0A48"/>
    <w:rsid w:val="00EC1BAF"/>
    <w:rsid w:val="00EC3018"/>
    <w:rsid w:val="00EC3821"/>
    <w:rsid w:val="00EC4464"/>
    <w:rsid w:val="00EC5120"/>
    <w:rsid w:val="00EC6279"/>
    <w:rsid w:val="00ED0966"/>
    <w:rsid w:val="00ED3C1C"/>
    <w:rsid w:val="00ED58B2"/>
    <w:rsid w:val="00ED654E"/>
    <w:rsid w:val="00ED73CA"/>
    <w:rsid w:val="00EE0BB8"/>
    <w:rsid w:val="00EE127D"/>
    <w:rsid w:val="00EE3A3F"/>
    <w:rsid w:val="00EE3F6F"/>
    <w:rsid w:val="00EF02C0"/>
    <w:rsid w:val="00EF15AB"/>
    <w:rsid w:val="00EF1D42"/>
    <w:rsid w:val="00EF20EE"/>
    <w:rsid w:val="00EF249D"/>
    <w:rsid w:val="00EF3DBD"/>
    <w:rsid w:val="00EF7C37"/>
    <w:rsid w:val="00F0172B"/>
    <w:rsid w:val="00F0266A"/>
    <w:rsid w:val="00F02F00"/>
    <w:rsid w:val="00F0321D"/>
    <w:rsid w:val="00F05D8A"/>
    <w:rsid w:val="00F106D7"/>
    <w:rsid w:val="00F12250"/>
    <w:rsid w:val="00F13241"/>
    <w:rsid w:val="00F142AA"/>
    <w:rsid w:val="00F144CE"/>
    <w:rsid w:val="00F1496C"/>
    <w:rsid w:val="00F150DB"/>
    <w:rsid w:val="00F15A8D"/>
    <w:rsid w:val="00F15BBD"/>
    <w:rsid w:val="00F23861"/>
    <w:rsid w:val="00F239E6"/>
    <w:rsid w:val="00F24AAD"/>
    <w:rsid w:val="00F2699A"/>
    <w:rsid w:val="00F26DF8"/>
    <w:rsid w:val="00F311D4"/>
    <w:rsid w:val="00F326A6"/>
    <w:rsid w:val="00F328EA"/>
    <w:rsid w:val="00F33CFE"/>
    <w:rsid w:val="00F35971"/>
    <w:rsid w:val="00F35E4E"/>
    <w:rsid w:val="00F36FE0"/>
    <w:rsid w:val="00F37783"/>
    <w:rsid w:val="00F377F3"/>
    <w:rsid w:val="00F37AB8"/>
    <w:rsid w:val="00F37F82"/>
    <w:rsid w:val="00F40153"/>
    <w:rsid w:val="00F40766"/>
    <w:rsid w:val="00F419E1"/>
    <w:rsid w:val="00F432BF"/>
    <w:rsid w:val="00F45746"/>
    <w:rsid w:val="00F45A2D"/>
    <w:rsid w:val="00F46046"/>
    <w:rsid w:val="00F4622F"/>
    <w:rsid w:val="00F500B3"/>
    <w:rsid w:val="00F50776"/>
    <w:rsid w:val="00F50D57"/>
    <w:rsid w:val="00F50D9C"/>
    <w:rsid w:val="00F5191E"/>
    <w:rsid w:val="00F51AE1"/>
    <w:rsid w:val="00F52996"/>
    <w:rsid w:val="00F52FC1"/>
    <w:rsid w:val="00F5453F"/>
    <w:rsid w:val="00F5510D"/>
    <w:rsid w:val="00F5651F"/>
    <w:rsid w:val="00F57D2F"/>
    <w:rsid w:val="00F62013"/>
    <w:rsid w:val="00F620D3"/>
    <w:rsid w:val="00F628D0"/>
    <w:rsid w:val="00F6692D"/>
    <w:rsid w:val="00F6754F"/>
    <w:rsid w:val="00F70706"/>
    <w:rsid w:val="00F70EE9"/>
    <w:rsid w:val="00F73F6A"/>
    <w:rsid w:val="00F76A01"/>
    <w:rsid w:val="00F774A2"/>
    <w:rsid w:val="00F81CB5"/>
    <w:rsid w:val="00F8495E"/>
    <w:rsid w:val="00F84C70"/>
    <w:rsid w:val="00F8569D"/>
    <w:rsid w:val="00F856ED"/>
    <w:rsid w:val="00F86DE8"/>
    <w:rsid w:val="00F870CC"/>
    <w:rsid w:val="00F87FF7"/>
    <w:rsid w:val="00F92C12"/>
    <w:rsid w:val="00F93894"/>
    <w:rsid w:val="00F97968"/>
    <w:rsid w:val="00FA060B"/>
    <w:rsid w:val="00FA08A5"/>
    <w:rsid w:val="00FA0B91"/>
    <w:rsid w:val="00FA1885"/>
    <w:rsid w:val="00FA1FAA"/>
    <w:rsid w:val="00FA3784"/>
    <w:rsid w:val="00FA3B27"/>
    <w:rsid w:val="00FA49C8"/>
    <w:rsid w:val="00FA5454"/>
    <w:rsid w:val="00FA71F4"/>
    <w:rsid w:val="00FB064A"/>
    <w:rsid w:val="00FB1304"/>
    <w:rsid w:val="00FB33F3"/>
    <w:rsid w:val="00FB55D6"/>
    <w:rsid w:val="00FB5E0D"/>
    <w:rsid w:val="00FB64D1"/>
    <w:rsid w:val="00FC061F"/>
    <w:rsid w:val="00FC1219"/>
    <w:rsid w:val="00FC1B36"/>
    <w:rsid w:val="00FC233E"/>
    <w:rsid w:val="00FC265F"/>
    <w:rsid w:val="00FC2827"/>
    <w:rsid w:val="00FC592F"/>
    <w:rsid w:val="00FC6C3C"/>
    <w:rsid w:val="00FC70F1"/>
    <w:rsid w:val="00FC71B4"/>
    <w:rsid w:val="00FC7606"/>
    <w:rsid w:val="00FD0462"/>
    <w:rsid w:val="00FD10AF"/>
    <w:rsid w:val="00FD11A8"/>
    <w:rsid w:val="00FD1D48"/>
    <w:rsid w:val="00FD3010"/>
    <w:rsid w:val="00FD6481"/>
    <w:rsid w:val="00FE0494"/>
    <w:rsid w:val="00FE2283"/>
    <w:rsid w:val="00FE29EE"/>
    <w:rsid w:val="00FE4615"/>
    <w:rsid w:val="00FE6660"/>
    <w:rsid w:val="00FE6BE2"/>
    <w:rsid w:val="00FF0214"/>
    <w:rsid w:val="00FF0C13"/>
    <w:rsid w:val="00FF1195"/>
    <w:rsid w:val="00FF205F"/>
    <w:rsid w:val="00FF3A98"/>
    <w:rsid w:val="00FF5917"/>
    <w:rsid w:val="00FF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2B9C14"/>
  <w15:docId w15:val="{72A138B5-47A4-45DD-9459-8B84C78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B8"/>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uiPriority w:val="99"/>
    <w:rsid w:val="0044370E"/>
    <w:rPr>
      <w:color w:val="0000FF"/>
      <w:u w:val="single"/>
    </w:rPr>
  </w:style>
  <w:style w:type="paragraph" w:styleId="BalloonText">
    <w:name w:val="Balloon Text"/>
    <w:basedOn w:val="Normal"/>
    <w:semiHidden/>
    <w:rsid w:val="003F7928"/>
    <w:rPr>
      <w:rFonts w:ascii="Tahoma" w:hAnsi="Tahoma" w:cs="Tahoma"/>
      <w:sz w:val="16"/>
      <w:szCs w:val="16"/>
    </w:rPr>
  </w:style>
  <w:style w:type="character" w:styleId="PageNumber">
    <w:name w:val="page number"/>
    <w:basedOn w:val="DefaultParagraphFont"/>
    <w:rsid w:val="004F519D"/>
  </w:style>
  <w:style w:type="character" w:styleId="CommentReference">
    <w:name w:val="annotation reference"/>
    <w:semiHidden/>
    <w:rsid w:val="007C670F"/>
    <w:rPr>
      <w:sz w:val="16"/>
      <w:szCs w:val="16"/>
    </w:rPr>
  </w:style>
  <w:style w:type="paragraph" w:styleId="CommentText">
    <w:name w:val="annotation text"/>
    <w:basedOn w:val="Normal"/>
    <w:semiHidden/>
    <w:rsid w:val="007C670F"/>
    <w:rPr>
      <w:sz w:val="20"/>
      <w:szCs w:val="20"/>
    </w:rPr>
  </w:style>
  <w:style w:type="paragraph" w:styleId="CommentSubject">
    <w:name w:val="annotation subject"/>
    <w:basedOn w:val="CommentText"/>
    <w:next w:val="CommentText"/>
    <w:semiHidden/>
    <w:rsid w:val="007C670F"/>
    <w:rPr>
      <w:b/>
      <w:bCs/>
    </w:rPr>
  </w:style>
  <w:style w:type="paragraph" w:styleId="ListParagraph">
    <w:name w:val="List Paragraph"/>
    <w:basedOn w:val="Normal"/>
    <w:uiPriority w:val="34"/>
    <w:qFormat/>
    <w:rsid w:val="001D60A9"/>
    <w:pPr>
      <w:spacing w:after="200" w:line="276" w:lineRule="auto"/>
      <w:ind w:left="720"/>
      <w:contextualSpacing/>
      <w:jc w:val="left"/>
    </w:pPr>
    <w:rPr>
      <w:rFonts w:ascii="Calibri" w:eastAsia="Calibri" w:hAnsi="Calibri"/>
      <w:lang w:eastAsia="en-US"/>
    </w:rPr>
  </w:style>
  <w:style w:type="paragraph" w:styleId="Revision">
    <w:name w:val="Revision"/>
    <w:hidden/>
    <w:uiPriority w:val="99"/>
    <w:semiHidden/>
    <w:rsid w:val="0012430C"/>
    <w:rPr>
      <w:rFonts w:ascii="Arial" w:hAnsi="Arial"/>
      <w:sz w:val="22"/>
      <w:szCs w:val="22"/>
    </w:rPr>
  </w:style>
  <w:style w:type="paragraph" w:styleId="NoSpacing">
    <w:name w:val="No Spacing"/>
    <w:uiPriority w:val="1"/>
    <w:qFormat/>
    <w:rsid w:val="00710D3E"/>
    <w:rPr>
      <w:rFonts w:ascii="Calibri" w:eastAsia="Calibri" w:hAnsi="Calibri"/>
      <w:sz w:val="22"/>
      <w:szCs w:val="22"/>
      <w:lang w:eastAsia="en-US"/>
    </w:rPr>
  </w:style>
  <w:style w:type="paragraph" w:customStyle="1" w:styleId="Default">
    <w:name w:val="Default"/>
    <w:rsid w:val="00FF205F"/>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412E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2E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282">
      <w:bodyDiv w:val="1"/>
      <w:marLeft w:val="0"/>
      <w:marRight w:val="0"/>
      <w:marTop w:val="0"/>
      <w:marBottom w:val="0"/>
      <w:divBdr>
        <w:top w:val="none" w:sz="0" w:space="0" w:color="auto"/>
        <w:left w:val="none" w:sz="0" w:space="0" w:color="auto"/>
        <w:bottom w:val="none" w:sz="0" w:space="0" w:color="auto"/>
        <w:right w:val="none" w:sz="0" w:space="0" w:color="auto"/>
      </w:divBdr>
    </w:div>
    <w:div w:id="50540171">
      <w:bodyDiv w:val="1"/>
      <w:marLeft w:val="0"/>
      <w:marRight w:val="0"/>
      <w:marTop w:val="0"/>
      <w:marBottom w:val="0"/>
      <w:divBdr>
        <w:top w:val="none" w:sz="0" w:space="0" w:color="auto"/>
        <w:left w:val="none" w:sz="0" w:space="0" w:color="auto"/>
        <w:bottom w:val="none" w:sz="0" w:space="0" w:color="auto"/>
        <w:right w:val="none" w:sz="0" w:space="0" w:color="auto"/>
      </w:divBdr>
    </w:div>
    <w:div w:id="93139179">
      <w:bodyDiv w:val="1"/>
      <w:marLeft w:val="0"/>
      <w:marRight w:val="0"/>
      <w:marTop w:val="0"/>
      <w:marBottom w:val="0"/>
      <w:divBdr>
        <w:top w:val="none" w:sz="0" w:space="0" w:color="auto"/>
        <w:left w:val="none" w:sz="0" w:space="0" w:color="auto"/>
        <w:bottom w:val="none" w:sz="0" w:space="0" w:color="auto"/>
        <w:right w:val="none" w:sz="0" w:space="0" w:color="auto"/>
      </w:divBdr>
    </w:div>
    <w:div w:id="101459932">
      <w:bodyDiv w:val="1"/>
      <w:marLeft w:val="0"/>
      <w:marRight w:val="0"/>
      <w:marTop w:val="0"/>
      <w:marBottom w:val="0"/>
      <w:divBdr>
        <w:top w:val="none" w:sz="0" w:space="0" w:color="auto"/>
        <w:left w:val="none" w:sz="0" w:space="0" w:color="auto"/>
        <w:bottom w:val="none" w:sz="0" w:space="0" w:color="auto"/>
        <w:right w:val="none" w:sz="0" w:space="0" w:color="auto"/>
      </w:divBdr>
    </w:div>
    <w:div w:id="123818328">
      <w:bodyDiv w:val="1"/>
      <w:marLeft w:val="0"/>
      <w:marRight w:val="0"/>
      <w:marTop w:val="0"/>
      <w:marBottom w:val="0"/>
      <w:divBdr>
        <w:top w:val="none" w:sz="0" w:space="0" w:color="auto"/>
        <w:left w:val="none" w:sz="0" w:space="0" w:color="auto"/>
        <w:bottom w:val="none" w:sz="0" w:space="0" w:color="auto"/>
        <w:right w:val="none" w:sz="0" w:space="0" w:color="auto"/>
      </w:divBdr>
    </w:div>
    <w:div w:id="133257070">
      <w:bodyDiv w:val="1"/>
      <w:marLeft w:val="0"/>
      <w:marRight w:val="0"/>
      <w:marTop w:val="0"/>
      <w:marBottom w:val="0"/>
      <w:divBdr>
        <w:top w:val="none" w:sz="0" w:space="0" w:color="auto"/>
        <w:left w:val="none" w:sz="0" w:space="0" w:color="auto"/>
        <w:bottom w:val="none" w:sz="0" w:space="0" w:color="auto"/>
        <w:right w:val="none" w:sz="0" w:space="0" w:color="auto"/>
      </w:divBdr>
    </w:div>
    <w:div w:id="135225251">
      <w:bodyDiv w:val="1"/>
      <w:marLeft w:val="0"/>
      <w:marRight w:val="0"/>
      <w:marTop w:val="0"/>
      <w:marBottom w:val="0"/>
      <w:divBdr>
        <w:top w:val="none" w:sz="0" w:space="0" w:color="auto"/>
        <w:left w:val="none" w:sz="0" w:space="0" w:color="auto"/>
        <w:bottom w:val="none" w:sz="0" w:space="0" w:color="auto"/>
        <w:right w:val="none" w:sz="0" w:space="0" w:color="auto"/>
      </w:divBdr>
    </w:div>
    <w:div w:id="148442101">
      <w:bodyDiv w:val="1"/>
      <w:marLeft w:val="0"/>
      <w:marRight w:val="0"/>
      <w:marTop w:val="0"/>
      <w:marBottom w:val="0"/>
      <w:divBdr>
        <w:top w:val="none" w:sz="0" w:space="0" w:color="auto"/>
        <w:left w:val="none" w:sz="0" w:space="0" w:color="auto"/>
        <w:bottom w:val="none" w:sz="0" w:space="0" w:color="auto"/>
        <w:right w:val="none" w:sz="0" w:space="0" w:color="auto"/>
      </w:divBdr>
    </w:div>
    <w:div w:id="177820080">
      <w:bodyDiv w:val="1"/>
      <w:marLeft w:val="0"/>
      <w:marRight w:val="0"/>
      <w:marTop w:val="0"/>
      <w:marBottom w:val="0"/>
      <w:divBdr>
        <w:top w:val="none" w:sz="0" w:space="0" w:color="auto"/>
        <w:left w:val="none" w:sz="0" w:space="0" w:color="auto"/>
        <w:bottom w:val="none" w:sz="0" w:space="0" w:color="auto"/>
        <w:right w:val="none" w:sz="0" w:space="0" w:color="auto"/>
      </w:divBdr>
    </w:div>
    <w:div w:id="186607832">
      <w:bodyDiv w:val="1"/>
      <w:marLeft w:val="0"/>
      <w:marRight w:val="0"/>
      <w:marTop w:val="0"/>
      <w:marBottom w:val="0"/>
      <w:divBdr>
        <w:top w:val="none" w:sz="0" w:space="0" w:color="auto"/>
        <w:left w:val="none" w:sz="0" w:space="0" w:color="auto"/>
        <w:bottom w:val="none" w:sz="0" w:space="0" w:color="auto"/>
        <w:right w:val="none" w:sz="0" w:space="0" w:color="auto"/>
      </w:divBdr>
    </w:div>
    <w:div w:id="190994395">
      <w:bodyDiv w:val="1"/>
      <w:marLeft w:val="0"/>
      <w:marRight w:val="0"/>
      <w:marTop w:val="0"/>
      <w:marBottom w:val="0"/>
      <w:divBdr>
        <w:top w:val="none" w:sz="0" w:space="0" w:color="auto"/>
        <w:left w:val="none" w:sz="0" w:space="0" w:color="auto"/>
        <w:bottom w:val="none" w:sz="0" w:space="0" w:color="auto"/>
        <w:right w:val="none" w:sz="0" w:space="0" w:color="auto"/>
      </w:divBdr>
    </w:div>
    <w:div w:id="239758693">
      <w:bodyDiv w:val="1"/>
      <w:marLeft w:val="0"/>
      <w:marRight w:val="0"/>
      <w:marTop w:val="0"/>
      <w:marBottom w:val="0"/>
      <w:divBdr>
        <w:top w:val="none" w:sz="0" w:space="0" w:color="auto"/>
        <w:left w:val="none" w:sz="0" w:space="0" w:color="auto"/>
        <w:bottom w:val="none" w:sz="0" w:space="0" w:color="auto"/>
        <w:right w:val="none" w:sz="0" w:space="0" w:color="auto"/>
      </w:divBdr>
    </w:div>
    <w:div w:id="254288748">
      <w:bodyDiv w:val="1"/>
      <w:marLeft w:val="0"/>
      <w:marRight w:val="0"/>
      <w:marTop w:val="0"/>
      <w:marBottom w:val="0"/>
      <w:divBdr>
        <w:top w:val="none" w:sz="0" w:space="0" w:color="auto"/>
        <w:left w:val="none" w:sz="0" w:space="0" w:color="auto"/>
        <w:bottom w:val="none" w:sz="0" w:space="0" w:color="auto"/>
        <w:right w:val="none" w:sz="0" w:space="0" w:color="auto"/>
      </w:divBdr>
    </w:div>
    <w:div w:id="289021771">
      <w:bodyDiv w:val="1"/>
      <w:marLeft w:val="0"/>
      <w:marRight w:val="0"/>
      <w:marTop w:val="0"/>
      <w:marBottom w:val="0"/>
      <w:divBdr>
        <w:top w:val="none" w:sz="0" w:space="0" w:color="auto"/>
        <w:left w:val="none" w:sz="0" w:space="0" w:color="auto"/>
        <w:bottom w:val="none" w:sz="0" w:space="0" w:color="auto"/>
        <w:right w:val="none" w:sz="0" w:space="0" w:color="auto"/>
      </w:divBdr>
    </w:div>
    <w:div w:id="293295540">
      <w:bodyDiv w:val="1"/>
      <w:marLeft w:val="0"/>
      <w:marRight w:val="0"/>
      <w:marTop w:val="0"/>
      <w:marBottom w:val="0"/>
      <w:divBdr>
        <w:top w:val="none" w:sz="0" w:space="0" w:color="auto"/>
        <w:left w:val="none" w:sz="0" w:space="0" w:color="auto"/>
        <w:bottom w:val="none" w:sz="0" w:space="0" w:color="auto"/>
        <w:right w:val="none" w:sz="0" w:space="0" w:color="auto"/>
      </w:divBdr>
    </w:div>
    <w:div w:id="295183794">
      <w:bodyDiv w:val="1"/>
      <w:marLeft w:val="0"/>
      <w:marRight w:val="0"/>
      <w:marTop w:val="0"/>
      <w:marBottom w:val="0"/>
      <w:divBdr>
        <w:top w:val="none" w:sz="0" w:space="0" w:color="auto"/>
        <w:left w:val="none" w:sz="0" w:space="0" w:color="auto"/>
        <w:bottom w:val="none" w:sz="0" w:space="0" w:color="auto"/>
        <w:right w:val="none" w:sz="0" w:space="0" w:color="auto"/>
      </w:divBdr>
    </w:div>
    <w:div w:id="319770134">
      <w:bodyDiv w:val="1"/>
      <w:marLeft w:val="0"/>
      <w:marRight w:val="0"/>
      <w:marTop w:val="0"/>
      <w:marBottom w:val="0"/>
      <w:divBdr>
        <w:top w:val="none" w:sz="0" w:space="0" w:color="auto"/>
        <w:left w:val="none" w:sz="0" w:space="0" w:color="auto"/>
        <w:bottom w:val="none" w:sz="0" w:space="0" w:color="auto"/>
        <w:right w:val="none" w:sz="0" w:space="0" w:color="auto"/>
      </w:divBdr>
    </w:div>
    <w:div w:id="325013628">
      <w:bodyDiv w:val="1"/>
      <w:marLeft w:val="0"/>
      <w:marRight w:val="0"/>
      <w:marTop w:val="0"/>
      <w:marBottom w:val="0"/>
      <w:divBdr>
        <w:top w:val="none" w:sz="0" w:space="0" w:color="auto"/>
        <w:left w:val="none" w:sz="0" w:space="0" w:color="auto"/>
        <w:bottom w:val="none" w:sz="0" w:space="0" w:color="auto"/>
        <w:right w:val="none" w:sz="0" w:space="0" w:color="auto"/>
      </w:divBdr>
    </w:div>
    <w:div w:id="332489629">
      <w:bodyDiv w:val="1"/>
      <w:marLeft w:val="0"/>
      <w:marRight w:val="0"/>
      <w:marTop w:val="0"/>
      <w:marBottom w:val="0"/>
      <w:divBdr>
        <w:top w:val="none" w:sz="0" w:space="0" w:color="auto"/>
        <w:left w:val="none" w:sz="0" w:space="0" w:color="auto"/>
        <w:bottom w:val="none" w:sz="0" w:space="0" w:color="auto"/>
        <w:right w:val="none" w:sz="0" w:space="0" w:color="auto"/>
      </w:divBdr>
    </w:div>
    <w:div w:id="335498148">
      <w:bodyDiv w:val="1"/>
      <w:marLeft w:val="0"/>
      <w:marRight w:val="0"/>
      <w:marTop w:val="0"/>
      <w:marBottom w:val="0"/>
      <w:divBdr>
        <w:top w:val="none" w:sz="0" w:space="0" w:color="auto"/>
        <w:left w:val="none" w:sz="0" w:space="0" w:color="auto"/>
        <w:bottom w:val="none" w:sz="0" w:space="0" w:color="auto"/>
        <w:right w:val="none" w:sz="0" w:space="0" w:color="auto"/>
      </w:divBdr>
    </w:div>
    <w:div w:id="353850327">
      <w:bodyDiv w:val="1"/>
      <w:marLeft w:val="0"/>
      <w:marRight w:val="0"/>
      <w:marTop w:val="0"/>
      <w:marBottom w:val="0"/>
      <w:divBdr>
        <w:top w:val="none" w:sz="0" w:space="0" w:color="auto"/>
        <w:left w:val="none" w:sz="0" w:space="0" w:color="auto"/>
        <w:bottom w:val="none" w:sz="0" w:space="0" w:color="auto"/>
        <w:right w:val="none" w:sz="0" w:space="0" w:color="auto"/>
      </w:divBdr>
    </w:div>
    <w:div w:id="356584666">
      <w:bodyDiv w:val="1"/>
      <w:marLeft w:val="0"/>
      <w:marRight w:val="0"/>
      <w:marTop w:val="0"/>
      <w:marBottom w:val="0"/>
      <w:divBdr>
        <w:top w:val="none" w:sz="0" w:space="0" w:color="auto"/>
        <w:left w:val="none" w:sz="0" w:space="0" w:color="auto"/>
        <w:bottom w:val="none" w:sz="0" w:space="0" w:color="auto"/>
        <w:right w:val="none" w:sz="0" w:space="0" w:color="auto"/>
      </w:divBdr>
    </w:div>
    <w:div w:id="393242082">
      <w:bodyDiv w:val="1"/>
      <w:marLeft w:val="0"/>
      <w:marRight w:val="0"/>
      <w:marTop w:val="0"/>
      <w:marBottom w:val="0"/>
      <w:divBdr>
        <w:top w:val="none" w:sz="0" w:space="0" w:color="auto"/>
        <w:left w:val="none" w:sz="0" w:space="0" w:color="auto"/>
        <w:bottom w:val="none" w:sz="0" w:space="0" w:color="auto"/>
        <w:right w:val="none" w:sz="0" w:space="0" w:color="auto"/>
      </w:divBdr>
    </w:div>
    <w:div w:id="396126650">
      <w:bodyDiv w:val="1"/>
      <w:marLeft w:val="0"/>
      <w:marRight w:val="0"/>
      <w:marTop w:val="0"/>
      <w:marBottom w:val="0"/>
      <w:divBdr>
        <w:top w:val="none" w:sz="0" w:space="0" w:color="auto"/>
        <w:left w:val="none" w:sz="0" w:space="0" w:color="auto"/>
        <w:bottom w:val="none" w:sz="0" w:space="0" w:color="auto"/>
        <w:right w:val="none" w:sz="0" w:space="0" w:color="auto"/>
      </w:divBdr>
    </w:div>
    <w:div w:id="439106316">
      <w:bodyDiv w:val="1"/>
      <w:marLeft w:val="0"/>
      <w:marRight w:val="0"/>
      <w:marTop w:val="0"/>
      <w:marBottom w:val="0"/>
      <w:divBdr>
        <w:top w:val="none" w:sz="0" w:space="0" w:color="auto"/>
        <w:left w:val="none" w:sz="0" w:space="0" w:color="auto"/>
        <w:bottom w:val="none" w:sz="0" w:space="0" w:color="auto"/>
        <w:right w:val="none" w:sz="0" w:space="0" w:color="auto"/>
      </w:divBdr>
    </w:div>
    <w:div w:id="442186473">
      <w:bodyDiv w:val="1"/>
      <w:marLeft w:val="0"/>
      <w:marRight w:val="0"/>
      <w:marTop w:val="0"/>
      <w:marBottom w:val="0"/>
      <w:divBdr>
        <w:top w:val="none" w:sz="0" w:space="0" w:color="auto"/>
        <w:left w:val="none" w:sz="0" w:space="0" w:color="auto"/>
        <w:bottom w:val="none" w:sz="0" w:space="0" w:color="auto"/>
        <w:right w:val="none" w:sz="0" w:space="0" w:color="auto"/>
      </w:divBdr>
    </w:div>
    <w:div w:id="444232798">
      <w:bodyDiv w:val="1"/>
      <w:marLeft w:val="0"/>
      <w:marRight w:val="0"/>
      <w:marTop w:val="0"/>
      <w:marBottom w:val="0"/>
      <w:divBdr>
        <w:top w:val="none" w:sz="0" w:space="0" w:color="auto"/>
        <w:left w:val="none" w:sz="0" w:space="0" w:color="auto"/>
        <w:bottom w:val="none" w:sz="0" w:space="0" w:color="auto"/>
        <w:right w:val="none" w:sz="0" w:space="0" w:color="auto"/>
      </w:divBdr>
    </w:div>
    <w:div w:id="459305122">
      <w:bodyDiv w:val="1"/>
      <w:marLeft w:val="0"/>
      <w:marRight w:val="0"/>
      <w:marTop w:val="0"/>
      <w:marBottom w:val="0"/>
      <w:divBdr>
        <w:top w:val="none" w:sz="0" w:space="0" w:color="auto"/>
        <w:left w:val="none" w:sz="0" w:space="0" w:color="auto"/>
        <w:bottom w:val="none" w:sz="0" w:space="0" w:color="auto"/>
        <w:right w:val="none" w:sz="0" w:space="0" w:color="auto"/>
      </w:divBdr>
    </w:div>
    <w:div w:id="494952377">
      <w:bodyDiv w:val="1"/>
      <w:marLeft w:val="0"/>
      <w:marRight w:val="0"/>
      <w:marTop w:val="0"/>
      <w:marBottom w:val="0"/>
      <w:divBdr>
        <w:top w:val="none" w:sz="0" w:space="0" w:color="auto"/>
        <w:left w:val="none" w:sz="0" w:space="0" w:color="auto"/>
        <w:bottom w:val="none" w:sz="0" w:space="0" w:color="auto"/>
        <w:right w:val="none" w:sz="0" w:space="0" w:color="auto"/>
      </w:divBdr>
    </w:div>
    <w:div w:id="499002212">
      <w:bodyDiv w:val="1"/>
      <w:marLeft w:val="0"/>
      <w:marRight w:val="0"/>
      <w:marTop w:val="0"/>
      <w:marBottom w:val="0"/>
      <w:divBdr>
        <w:top w:val="none" w:sz="0" w:space="0" w:color="auto"/>
        <w:left w:val="none" w:sz="0" w:space="0" w:color="auto"/>
        <w:bottom w:val="none" w:sz="0" w:space="0" w:color="auto"/>
        <w:right w:val="none" w:sz="0" w:space="0" w:color="auto"/>
      </w:divBdr>
    </w:div>
    <w:div w:id="504437544">
      <w:bodyDiv w:val="1"/>
      <w:marLeft w:val="0"/>
      <w:marRight w:val="0"/>
      <w:marTop w:val="0"/>
      <w:marBottom w:val="0"/>
      <w:divBdr>
        <w:top w:val="none" w:sz="0" w:space="0" w:color="auto"/>
        <w:left w:val="none" w:sz="0" w:space="0" w:color="auto"/>
        <w:bottom w:val="none" w:sz="0" w:space="0" w:color="auto"/>
        <w:right w:val="none" w:sz="0" w:space="0" w:color="auto"/>
      </w:divBdr>
    </w:div>
    <w:div w:id="538933974">
      <w:bodyDiv w:val="1"/>
      <w:marLeft w:val="0"/>
      <w:marRight w:val="0"/>
      <w:marTop w:val="0"/>
      <w:marBottom w:val="0"/>
      <w:divBdr>
        <w:top w:val="none" w:sz="0" w:space="0" w:color="auto"/>
        <w:left w:val="none" w:sz="0" w:space="0" w:color="auto"/>
        <w:bottom w:val="none" w:sz="0" w:space="0" w:color="auto"/>
        <w:right w:val="none" w:sz="0" w:space="0" w:color="auto"/>
      </w:divBdr>
    </w:div>
    <w:div w:id="545876892">
      <w:bodyDiv w:val="1"/>
      <w:marLeft w:val="0"/>
      <w:marRight w:val="0"/>
      <w:marTop w:val="0"/>
      <w:marBottom w:val="0"/>
      <w:divBdr>
        <w:top w:val="none" w:sz="0" w:space="0" w:color="auto"/>
        <w:left w:val="none" w:sz="0" w:space="0" w:color="auto"/>
        <w:bottom w:val="none" w:sz="0" w:space="0" w:color="auto"/>
        <w:right w:val="none" w:sz="0" w:space="0" w:color="auto"/>
      </w:divBdr>
    </w:div>
    <w:div w:id="555438057">
      <w:bodyDiv w:val="1"/>
      <w:marLeft w:val="0"/>
      <w:marRight w:val="0"/>
      <w:marTop w:val="0"/>
      <w:marBottom w:val="0"/>
      <w:divBdr>
        <w:top w:val="none" w:sz="0" w:space="0" w:color="auto"/>
        <w:left w:val="none" w:sz="0" w:space="0" w:color="auto"/>
        <w:bottom w:val="none" w:sz="0" w:space="0" w:color="auto"/>
        <w:right w:val="none" w:sz="0" w:space="0" w:color="auto"/>
      </w:divBdr>
    </w:div>
    <w:div w:id="567764987">
      <w:bodyDiv w:val="1"/>
      <w:marLeft w:val="0"/>
      <w:marRight w:val="0"/>
      <w:marTop w:val="0"/>
      <w:marBottom w:val="0"/>
      <w:divBdr>
        <w:top w:val="none" w:sz="0" w:space="0" w:color="auto"/>
        <w:left w:val="none" w:sz="0" w:space="0" w:color="auto"/>
        <w:bottom w:val="none" w:sz="0" w:space="0" w:color="auto"/>
        <w:right w:val="none" w:sz="0" w:space="0" w:color="auto"/>
      </w:divBdr>
    </w:div>
    <w:div w:id="589196950">
      <w:bodyDiv w:val="1"/>
      <w:marLeft w:val="0"/>
      <w:marRight w:val="0"/>
      <w:marTop w:val="0"/>
      <w:marBottom w:val="0"/>
      <w:divBdr>
        <w:top w:val="none" w:sz="0" w:space="0" w:color="auto"/>
        <w:left w:val="none" w:sz="0" w:space="0" w:color="auto"/>
        <w:bottom w:val="none" w:sz="0" w:space="0" w:color="auto"/>
        <w:right w:val="none" w:sz="0" w:space="0" w:color="auto"/>
      </w:divBdr>
    </w:div>
    <w:div w:id="592906555">
      <w:bodyDiv w:val="1"/>
      <w:marLeft w:val="0"/>
      <w:marRight w:val="0"/>
      <w:marTop w:val="0"/>
      <w:marBottom w:val="0"/>
      <w:divBdr>
        <w:top w:val="none" w:sz="0" w:space="0" w:color="auto"/>
        <w:left w:val="none" w:sz="0" w:space="0" w:color="auto"/>
        <w:bottom w:val="none" w:sz="0" w:space="0" w:color="auto"/>
        <w:right w:val="none" w:sz="0" w:space="0" w:color="auto"/>
      </w:divBdr>
    </w:div>
    <w:div w:id="628900235">
      <w:bodyDiv w:val="1"/>
      <w:marLeft w:val="0"/>
      <w:marRight w:val="0"/>
      <w:marTop w:val="0"/>
      <w:marBottom w:val="0"/>
      <w:divBdr>
        <w:top w:val="none" w:sz="0" w:space="0" w:color="auto"/>
        <w:left w:val="none" w:sz="0" w:space="0" w:color="auto"/>
        <w:bottom w:val="none" w:sz="0" w:space="0" w:color="auto"/>
        <w:right w:val="none" w:sz="0" w:space="0" w:color="auto"/>
      </w:divBdr>
    </w:div>
    <w:div w:id="635138580">
      <w:bodyDiv w:val="1"/>
      <w:marLeft w:val="0"/>
      <w:marRight w:val="0"/>
      <w:marTop w:val="0"/>
      <w:marBottom w:val="0"/>
      <w:divBdr>
        <w:top w:val="none" w:sz="0" w:space="0" w:color="auto"/>
        <w:left w:val="none" w:sz="0" w:space="0" w:color="auto"/>
        <w:bottom w:val="none" w:sz="0" w:space="0" w:color="auto"/>
        <w:right w:val="none" w:sz="0" w:space="0" w:color="auto"/>
      </w:divBdr>
    </w:div>
    <w:div w:id="650062291">
      <w:bodyDiv w:val="1"/>
      <w:marLeft w:val="0"/>
      <w:marRight w:val="0"/>
      <w:marTop w:val="0"/>
      <w:marBottom w:val="0"/>
      <w:divBdr>
        <w:top w:val="none" w:sz="0" w:space="0" w:color="auto"/>
        <w:left w:val="none" w:sz="0" w:space="0" w:color="auto"/>
        <w:bottom w:val="none" w:sz="0" w:space="0" w:color="auto"/>
        <w:right w:val="none" w:sz="0" w:space="0" w:color="auto"/>
      </w:divBdr>
    </w:div>
    <w:div w:id="660230350">
      <w:bodyDiv w:val="1"/>
      <w:marLeft w:val="0"/>
      <w:marRight w:val="0"/>
      <w:marTop w:val="0"/>
      <w:marBottom w:val="0"/>
      <w:divBdr>
        <w:top w:val="none" w:sz="0" w:space="0" w:color="auto"/>
        <w:left w:val="none" w:sz="0" w:space="0" w:color="auto"/>
        <w:bottom w:val="none" w:sz="0" w:space="0" w:color="auto"/>
        <w:right w:val="none" w:sz="0" w:space="0" w:color="auto"/>
      </w:divBdr>
    </w:div>
    <w:div w:id="675109479">
      <w:bodyDiv w:val="1"/>
      <w:marLeft w:val="0"/>
      <w:marRight w:val="0"/>
      <w:marTop w:val="0"/>
      <w:marBottom w:val="0"/>
      <w:divBdr>
        <w:top w:val="none" w:sz="0" w:space="0" w:color="auto"/>
        <w:left w:val="none" w:sz="0" w:space="0" w:color="auto"/>
        <w:bottom w:val="none" w:sz="0" w:space="0" w:color="auto"/>
        <w:right w:val="none" w:sz="0" w:space="0" w:color="auto"/>
      </w:divBdr>
    </w:div>
    <w:div w:id="676466120">
      <w:bodyDiv w:val="1"/>
      <w:marLeft w:val="0"/>
      <w:marRight w:val="0"/>
      <w:marTop w:val="0"/>
      <w:marBottom w:val="0"/>
      <w:divBdr>
        <w:top w:val="none" w:sz="0" w:space="0" w:color="auto"/>
        <w:left w:val="none" w:sz="0" w:space="0" w:color="auto"/>
        <w:bottom w:val="none" w:sz="0" w:space="0" w:color="auto"/>
        <w:right w:val="none" w:sz="0" w:space="0" w:color="auto"/>
      </w:divBdr>
    </w:div>
    <w:div w:id="677197101">
      <w:bodyDiv w:val="1"/>
      <w:marLeft w:val="0"/>
      <w:marRight w:val="0"/>
      <w:marTop w:val="0"/>
      <w:marBottom w:val="0"/>
      <w:divBdr>
        <w:top w:val="none" w:sz="0" w:space="0" w:color="auto"/>
        <w:left w:val="none" w:sz="0" w:space="0" w:color="auto"/>
        <w:bottom w:val="none" w:sz="0" w:space="0" w:color="auto"/>
        <w:right w:val="none" w:sz="0" w:space="0" w:color="auto"/>
      </w:divBdr>
    </w:div>
    <w:div w:id="683172846">
      <w:bodyDiv w:val="1"/>
      <w:marLeft w:val="0"/>
      <w:marRight w:val="0"/>
      <w:marTop w:val="0"/>
      <w:marBottom w:val="0"/>
      <w:divBdr>
        <w:top w:val="none" w:sz="0" w:space="0" w:color="auto"/>
        <w:left w:val="none" w:sz="0" w:space="0" w:color="auto"/>
        <w:bottom w:val="none" w:sz="0" w:space="0" w:color="auto"/>
        <w:right w:val="none" w:sz="0" w:space="0" w:color="auto"/>
      </w:divBdr>
    </w:div>
    <w:div w:id="689570537">
      <w:bodyDiv w:val="1"/>
      <w:marLeft w:val="0"/>
      <w:marRight w:val="0"/>
      <w:marTop w:val="0"/>
      <w:marBottom w:val="0"/>
      <w:divBdr>
        <w:top w:val="none" w:sz="0" w:space="0" w:color="auto"/>
        <w:left w:val="none" w:sz="0" w:space="0" w:color="auto"/>
        <w:bottom w:val="none" w:sz="0" w:space="0" w:color="auto"/>
        <w:right w:val="none" w:sz="0" w:space="0" w:color="auto"/>
      </w:divBdr>
    </w:div>
    <w:div w:id="700011163">
      <w:bodyDiv w:val="1"/>
      <w:marLeft w:val="0"/>
      <w:marRight w:val="0"/>
      <w:marTop w:val="0"/>
      <w:marBottom w:val="0"/>
      <w:divBdr>
        <w:top w:val="none" w:sz="0" w:space="0" w:color="auto"/>
        <w:left w:val="none" w:sz="0" w:space="0" w:color="auto"/>
        <w:bottom w:val="none" w:sz="0" w:space="0" w:color="auto"/>
        <w:right w:val="none" w:sz="0" w:space="0" w:color="auto"/>
      </w:divBdr>
    </w:div>
    <w:div w:id="707022663">
      <w:bodyDiv w:val="1"/>
      <w:marLeft w:val="0"/>
      <w:marRight w:val="0"/>
      <w:marTop w:val="0"/>
      <w:marBottom w:val="0"/>
      <w:divBdr>
        <w:top w:val="none" w:sz="0" w:space="0" w:color="auto"/>
        <w:left w:val="none" w:sz="0" w:space="0" w:color="auto"/>
        <w:bottom w:val="none" w:sz="0" w:space="0" w:color="auto"/>
        <w:right w:val="none" w:sz="0" w:space="0" w:color="auto"/>
      </w:divBdr>
    </w:div>
    <w:div w:id="720324706">
      <w:bodyDiv w:val="1"/>
      <w:marLeft w:val="0"/>
      <w:marRight w:val="0"/>
      <w:marTop w:val="0"/>
      <w:marBottom w:val="0"/>
      <w:divBdr>
        <w:top w:val="none" w:sz="0" w:space="0" w:color="auto"/>
        <w:left w:val="none" w:sz="0" w:space="0" w:color="auto"/>
        <w:bottom w:val="none" w:sz="0" w:space="0" w:color="auto"/>
        <w:right w:val="none" w:sz="0" w:space="0" w:color="auto"/>
      </w:divBdr>
    </w:div>
    <w:div w:id="721179480">
      <w:bodyDiv w:val="1"/>
      <w:marLeft w:val="0"/>
      <w:marRight w:val="0"/>
      <w:marTop w:val="0"/>
      <w:marBottom w:val="0"/>
      <w:divBdr>
        <w:top w:val="none" w:sz="0" w:space="0" w:color="auto"/>
        <w:left w:val="none" w:sz="0" w:space="0" w:color="auto"/>
        <w:bottom w:val="none" w:sz="0" w:space="0" w:color="auto"/>
        <w:right w:val="none" w:sz="0" w:space="0" w:color="auto"/>
      </w:divBdr>
    </w:div>
    <w:div w:id="737947099">
      <w:bodyDiv w:val="1"/>
      <w:marLeft w:val="0"/>
      <w:marRight w:val="0"/>
      <w:marTop w:val="0"/>
      <w:marBottom w:val="0"/>
      <w:divBdr>
        <w:top w:val="none" w:sz="0" w:space="0" w:color="auto"/>
        <w:left w:val="none" w:sz="0" w:space="0" w:color="auto"/>
        <w:bottom w:val="none" w:sz="0" w:space="0" w:color="auto"/>
        <w:right w:val="none" w:sz="0" w:space="0" w:color="auto"/>
      </w:divBdr>
    </w:div>
    <w:div w:id="751507496">
      <w:bodyDiv w:val="1"/>
      <w:marLeft w:val="0"/>
      <w:marRight w:val="0"/>
      <w:marTop w:val="0"/>
      <w:marBottom w:val="0"/>
      <w:divBdr>
        <w:top w:val="none" w:sz="0" w:space="0" w:color="auto"/>
        <w:left w:val="none" w:sz="0" w:space="0" w:color="auto"/>
        <w:bottom w:val="none" w:sz="0" w:space="0" w:color="auto"/>
        <w:right w:val="none" w:sz="0" w:space="0" w:color="auto"/>
      </w:divBdr>
    </w:div>
    <w:div w:id="751707503">
      <w:bodyDiv w:val="1"/>
      <w:marLeft w:val="0"/>
      <w:marRight w:val="0"/>
      <w:marTop w:val="0"/>
      <w:marBottom w:val="0"/>
      <w:divBdr>
        <w:top w:val="none" w:sz="0" w:space="0" w:color="auto"/>
        <w:left w:val="none" w:sz="0" w:space="0" w:color="auto"/>
        <w:bottom w:val="none" w:sz="0" w:space="0" w:color="auto"/>
        <w:right w:val="none" w:sz="0" w:space="0" w:color="auto"/>
      </w:divBdr>
      <w:divsChild>
        <w:div w:id="482888791">
          <w:marLeft w:val="547"/>
          <w:marRight w:val="0"/>
          <w:marTop w:val="106"/>
          <w:marBottom w:val="0"/>
          <w:divBdr>
            <w:top w:val="none" w:sz="0" w:space="0" w:color="auto"/>
            <w:left w:val="none" w:sz="0" w:space="0" w:color="auto"/>
            <w:bottom w:val="none" w:sz="0" w:space="0" w:color="auto"/>
            <w:right w:val="none" w:sz="0" w:space="0" w:color="auto"/>
          </w:divBdr>
        </w:div>
        <w:div w:id="1254318562">
          <w:marLeft w:val="1166"/>
          <w:marRight w:val="0"/>
          <w:marTop w:val="96"/>
          <w:marBottom w:val="0"/>
          <w:divBdr>
            <w:top w:val="none" w:sz="0" w:space="0" w:color="auto"/>
            <w:left w:val="none" w:sz="0" w:space="0" w:color="auto"/>
            <w:bottom w:val="none" w:sz="0" w:space="0" w:color="auto"/>
            <w:right w:val="none" w:sz="0" w:space="0" w:color="auto"/>
          </w:divBdr>
        </w:div>
        <w:div w:id="1779107992">
          <w:marLeft w:val="1166"/>
          <w:marRight w:val="0"/>
          <w:marTop w:val="96"/>
          <w:marBottom w:val="0"/>
          <w:divBdr>
            <w:top w:val="none" w:sz="0" w:space="0" w:color="auto"/>
            <w:left w:val="none" w:sz="0" w:space="0" w:color="auto"/>
            <w:bottom w:val="none" w:sz="0" w:space="0" w:color="auto"/>
            <w:right w:val="none" w:sz="0" w:space="0" w:color="auto"/>
          </w:divBdr>
        </w:div>
        <w:div w:id="1560745449">
          <w:marLeft w:val="1166"/>
          <w:marRight w:val="0"/>
          <w:marTop w:val="96"/>
          <w:marBottom w:val="0"/>
          <w:divBdr>
            <w:top w:val="none" w:sz="0" w:space="0" w:color="auto"/>
            <w:left w:val="none" w:sz="0" w:space="0" w:color="auto"/>
            <w:bottom w:val="none" w:sz="0" w:space="0" w:color="auto"/>
            <w:right w:val="none" w:sz="0" w:space="0" w:color="auto"/>
          </w:divBdr>
        </w:div>
        <w:div w:id="1354578936">
          <w:marLeft w:val="1166"/>
          <w:marRight w:val="0"/>
          <w:marTop w:val="96"/>
          <w:marBottom w:val="0"/>
          <w:divBdr>
            <w:top w:val="none" w:sz="0" w:space="0" w:color="auto"/>
            <w:left w:val="none" w:sz="0" w:space="0" w:color="auto"/>
            <w:bottom w:val="none" w:sz="0" w:space="0" w:color="auto"/>
            <w:right w:val="none" w:sz="0" w:space="0" w:color="auto"/>
          </w:divBdr>
        </w:div>
        <w:div w:id="881791702">
          <w:marLeft w:val="1166"/>
          <w:marRight w:val="0"/>
          <w:marTop w:val="96"/>
          <w:marBottom w:val="0"/>
          <w:divBdr>
            <w:top w:val="none" w:sz="0" w:space="0" w:color="auto"/>
            <w:left w:val="none" w:sz="0" w:space="0" w:color="auto"/>
            <w:bottom w:val="none" w:sz="0" w:space="0" w:color="auto"/>
            <w:right w:val="none" w:sz="0" w:space="0" w:color="auto"/>
          </w:divBdr>
        </w:div>
        <w:div w:id="1646231138">
          <w:marLeft w:val="1166"/>
          <w:marRight w:val="0"/>
          <w:marTop w:val="96"/>
          <w:marBottom w:val="0"/>
          <w:divBdr>
            <w:top w:val="none" w:sz="0" w:space="0" w:color="auto"/>
            <w:left w:val="none" w:sz="0" w:space="0" w:color="auto"/>
            <w:bottom w:val="none" w:sz="0" w:space="0" w:color="auto"/>
            <w:right w:val="none" w:sz="0" w:space="0" w:color="auto"/>
          </w:divBdr>
        </w:div>
        <w:div w:id="1361056026">
          <w:marLeft w:val="1166"/>
          <w:marRight w:val="0"/>
          <w:marTop w:val="96"/>
          <w:marBottom w:val="0"/>
          <w:divBdr>
            <w:top w:val="none" w:sz="0" w:space="0" w:color="auto"/>
            <w:left w:val="none" w:sz="0" w:space="0" w:color="auto"/>
            <w:bottom w:val="none" w:sz="0" w:space="0" w:color="auto"/>
            <w:right w:val="none" w:sz="0" w:space="0" w:color="auto"/>
          </w:divBdr>
        </w:div>
        <w:div w:id="631639153">
          <w:marLeft w:val="1166"/>
          <w:marRight w:val="0"/>
          <w:marTop w:val="96"/>
          <w:marBottom w:val="0"/>
          <w:divBdr>
            <w:top w:val="none" w:sz="0" w:space="0" w:color="auto"/>
            <w:left w:val="none" w:sz="0" w:space="0" w:color="auto"/>
            <w:bottom w:val="none" w:sz="0" w:space="0" w:color="auto"/>
            <w:right w:val="none" w:sz="0" w:space="0" w:color="auto"/>
          </w:divBdr>
        </w:div>
        <w:div w:id="47996630">
          <w:marLeft w:val="1800"/>
          <w:marRight w:val="0"/>
          <w:marTop w:val="82"/>
          <w:marBottom w:val="0"/>
          <w:divBdr>
            <w:top w:val="none" w:sz="0" w:space="0" w:color="auto"/>
            <w:left w:val="none" w:sz="0" w:space="0" w:color="auto"/>
            <w:bottom w:val="none" w:sz="0" w:space="0" w:color="auto"/>
            <w:right w:val="none" w:sz="0" w:space="0" w:color="auto"/>
          </w:divBdr>
        </w:div>
        <w:div w:id="2120950732">
          <w:marLeft w:val="1800"/>
          <w:marRight w:val="0"/>
          <w:marTop w:val="82"/>
          <w:marBottom w:val="0"/>
          <w:divBdr>
            <w:top w:val="none" w:sz="0" w:space="0" w:color="auto"/>
            <w:left w:val="none" w:sz="0" w:space="0" w:color="auto"/>
            <w:bottom w:val="none" w:sz="0" w:space="0" w:color="auto"/>
            <w:right w:val="none" w:sz="0" w:space="0" w:color="auto"/>
          </w:divBdr>
        </w:div>
        <w:div w:id="548226037">
          <w:marLeft w:val="1800"/>
          <w:marRight w:val="0"/>
          <w:marTop w:val="82"/>
          <w:marBottom w:val="0"/>
          <w:divBdr>
            <w:top w:val="none" w:sz="0" w:space="0" w:color="auto"/>
            <w:left w:val="none" w:sz="0" w:space="0" w:color="auto"/>
            <w:bottom w:val="none" w:sz="0" w:space="0" w:color="auto"/>
            <w:right w:val="none" w:sz="0" w:space="0" w:color="auto"/>
          </w:divBdr>
        </w:div>
        <w:div w:id="267977177">
          <w:marLeft w:val="1800"/>
          <w:marRight w:val="0"/>
          <w:marTop w:val="82"/>
          <w:marBottom w:val="0"/>
          <w:divBdr>
            <w:top w:val="none" w:sz="0" w:space="0" w:color="auto"/>
            <w:left w:val="none" w:sz="0" w:space="0" w:color="auto"/>
            <w:bottom w:val="none" w:sz="0" w:space="0" w:color="auto"/>
            <w:right w:val="none" w:sz="0" w:space="0" w:color="auto"/>
          </w:divBdr>
        </w:div>
        <w:div w:id="635181582">
          <w:marLeft w:val="1800"/>
          <w:marRight w:val="0"/>
          <w:marTop w:val="82"/>
          <w:marBottom w:val="0"/>
          <w:divBdr>
            <w:top w:val="none" w:sz="0" w:space="0" w:color="auto"/>
            <w:left w:val="none" w:sz="0" w:space="0" w:color="auto"/>
            <w:bottom w:val="none" w:sz="0" w:space="0" w:color="auto"/>
            <w:right w:val="none" w:sz="0" w:space="0" w:color="auto"/>
          </w:divBdr>
        </w:div>
        <w:div w:id="834422420">
          <w:marLeft w:val="1800"/>
          <w:marRight w:val="0"/>
          <w:marTop w:val="82"/>
          <w:marBottom w:val="0"/>
          <w:divBdr>
            <w:top w:val="none" w:sz="0" w:space="0" w:color="auto"/>
            <w:left w:val="none" w:sz="0" w:space="0" w:color="auto"/>
            <w:bottom w:val="none" w:sz="0" w:space="0" w:color="auto"/>
            <w:right w:val="none" w:sz="0" w:space="0" w:color="auto"/>
          </w:divBdr>
        </w:div>
      </w:divsChild>
    </w:div>
    <w:div w:id="774446408">
      <w:bodyDiv w:val="1"/>
      <w:marLeft w:val="0"/>
      <w:marRight w:val="0"/>
      <w:marTop w:val="0"/>
      <w:marBottom w:val="0"/>
      <w:divBdr>
        <w:top w:val="none" w:sz="0" w:space="0" w:color="auto"/>
        <w:left w:val="none" w:sz="0" w:space="0" w:color="auto"/>
        <w:bottom w:val="none" w:sz="0" w:space="0" w:color="auto"/>
        <w:right w:val="none" w:sz="0" w:space="0" w:color="auto"/>
      </w:divBdr>
    </w:div>
    <w:div w:id="819998258">
      <w:bodyDiv w:val="1"/>
      <w:marLeft w:val="0"/>
      <w:marRight w:val="0"/>
      <w:marTop w:val="0"/>
      <w:marBottom w:val="0"/>
      <w:divBdr>
        <w:top w:val="none" w:sz="0" w:space="0" w:color="auto"/>
        <w:left w:val="none" w:sz="0" w:space="0" w:color="auto"/>
        <w:bottom w:val="none" w:sz="0" w:space="0" w:color="auto"/>
        <w:right w:val="none" w:sz="0" w:space="0" w:color="auto"/>
      </w:divBdr>
    </w:div>
    <w:div w:id="823398295">
      <w:bodyDiv w:val="1"/>
      <w:marLeft w:val="0"/>
      <w:marRight w:val="0"/>
      <w:marTop w:val="0"/>
      <w:marBottom w:val="0"/>
      <w:divBdr>
        <w:top w:val="none" w:sz="0" w:space="0" w:color="auto"/>
        <w:left w:val="none" w:sz="0" w:space="0" w:color="auto"/>
        <w:bottom w:val="none" w:sz="0" w:space="0" w:color="auto"/>
        <w:right w:val="none" w:sz="0" w:space="0" w:color="auto"/>
      </w:divBdr>
    </w:div>
    <w:div w:id="834223638">
      <w:bodyDiv w:val="1"/>
      <w:marLeft w:val="0"/>
      <w:marRight w:val="0"/>
      <w:marTop w:val="0"/>
      <w:marBottom w:val="0"/>
      <w:divBdr>
        <w:top w:val="none" w:sz="0" w:space="0" w:color="auto"/>
        <w:left w:val="none" w:sz="0" w:space="0" w:color="auto"/>
        <w:bottom w:val="none" w:sz="0" w:space="0" w:color="auto"/>
        <w:right w:val="none" w:sz="0" w:space="0" w:color="auto"/>
      </w:divBdr>
    </w:div>
    <w:div w:id="849563668">
      <w:bodyDiv w:val="1"/>
      <w:marLeft w:val="0"/>
      <w:marRight w:val="0"/>
      <w:marTop w:val="0"/>
      <w:marBottom w:val="0"/>
      <w:divBdr>
        <w:top w:val="none" w:sz="0" w:space="0" w:color="auto"/>
        <w:left w:val="none" w:sz="0" w:space="0" w:color="auto"/>
        <w:bottom w:val="none" w:sz="0" w:space="0" w:color="auto"/>
        <w:right w:val="none" w:sz="0" w:space="0" w:color="auto"/>
      </w:divBdr>
    </w:div>
    <w:div w:id="851651029">
      <w:bodyDiv w:val="1"/>
      <w:marLeft w:val="0"/>
      <w:marRight w:val="0"/>
      <w:marTop w:val="0"/>
      <w:marBottom w:val="0"/>
      <w:divBdr>
        <w:top w:val="none" w:sz="0" w:space="0" w:color="auto"/>
        <w:left w:val="none" w:sz="0" w:space="0" w:color="auto"/>
        <w:bottom w:val="none" w:sz="0" w:space="0" w:color="auto"/>
        <w:right w:val="none" w:sz="0" w:space="0" w:color="auto"/>
      </w:divBdr>
    </w:div>
    <w:div w:id="856433140">
      <w:bodyDiv w:val="1"/>
      <w:marLeft w:val="0"/>
      <w:marRight w:val="0"/>
      <w:marTop w:val="0"/>
      <w:marBottom w:val="0"/>
      <w:divBdr>
        <w:top w:val="none" w:sz="0" w:space="0" w:color="auto"/>
        <w:left w:val="none" w:sz="0" w:space="0" w:color="auto"/>
        <w:bottom w:val="none" w:sz="0" w:space="0" w:color="auto"/>
        <w:right w:val="none" w:sz="0" w:space="0" w:color="auto"/>
      </w:divBdr>
    </w:div>
    <w:div w:id="857813252">
      <w:bodyDiv w:val="1"/>
      <w:marLeft w:val="0"/>
      <w:marRight w:val="0"/>
      <w:marTop w:val="0"/>
      <w:marBottom w:val="0"/>
      <w:divBdr>
        <w:top w:val="none" w:sz="0" w:space="0" w:color="auto"/>
        <w:left w:val="none" w:sz="0" w:space="0" w:color="auto"/>
        <w:bottom w:val="none" w:sz="0" w:space="0" w:color="auto"/>
        <w:right w:val="none" w:sz="0" w:space="0" w:color="auto"/>
      </w:divBdr>
    </w:div>
    <w:div w:id="864829267">
      <w:bodyDiv w:val="1"/>
      <w:marLeft w:val="0"/>
      <w:marRight w:val="0"/>
      <w:marTop w:val="0"/>
      <w:marBottom w:val="0"/>
      <w:divBdr>
        <w:top w:val="none" w:sz="0" w:space="0" w:color="auto"/>
        <w:left w:val="none" w:sz="0" w:space="0" w:color="auto"/>
        <w:bottom w:val="none" w:sz="0" w:space="0" w:color="auto"/>
        <w:right w:val="none" w:sz="0" w:space="0" w:color="auto"/>
      </w:divBdr>
    </w:div>
    <w:div w:id="871921928">
      <w:bodyDiv w:val="1"/>
      <w:marLeft w:val="0"/>
      <w:marRight w:val="0"/>
      <w:marTop w:val="0"/>
      <w:marBottom w:val="0"/>
      <w:divBdr>
        <w:top w:val="none" w:sz="0" w:space="0" w:color="auto"/>
        <w:left w:val="none" w:sz="0" w:space="0" w:color="auto"/>
        <w:bottom w:val="none" w:sz="0" w:space="0" w:color="auto"/>
        <w:right w:val="none" w:sz="0" w:space="0" w:color="auto"/>
      </w:divBdr>
    </w:div>
    <w:div w:id="881207788">
      <w:bodyDiv w:val="1"/>
      <w:marLeft w:val="0"/>
      <w:marRight w:val="0"/>
      <w:marTop w:val="0"/>
      <w:marBottom w:val="0"/>
      <w:divBdr>
        <w:top w:val="none" w:sz="0" w:space="0" w:color="auto"/>
        <w:left w:val="none" w:sz="0" w:space="0" w:color="auto"/>
        <w:bottom w:val="none" w:sz="0" w:space="0" w:color="auto"/>
        <w:right w:val="none" w:sz="0" w:space="0" w:color="auto"/>
      </w:divBdr>
    </w:div>
    <w:div w:id="887180623">
      <w:bodyDiv w:val="1"/>
      <w:marLeft w:val="0"/>
      <w:marRight w:val="0"/>
      <w:marTop w:val="0"/>
      <w:marBottom w:val="0"/>
      <w:divBdr>
        <w:top w:val="none" w:sz="0" w:space="0" w:color="auto"/>
        <w:left w:val="none" w:sz="0" w:space="0" w:color="auto"/>
        <w:bottom w:val="none" w:sz="0" w:space="0" w:color="auto"/>
        <w:right w:val="none" w:sz="0" w:space="0" w:color="auto"/>
      </w:divBdr>
    </w:div>
    <w:div w:id="893810270">
      <w:bodyDiv w:val="1"/>
      <w:marLeft w:val="0"/>
      <w:marRight w:val="0"/>
      <w:marTop w:val="0"/>
      <w:marBottom w:val="0"/>
      <w:divBdr>
        <w:top w:val="none" w:sz="0" w:space="0" w:color="auto"/>
        <w:left w:val="none" w:sz="0" w:space="0" w:color="auto"/>
        <w:bottom w:val="none" w:sz="0" w:space="0" w:color="auto"/>
        <w:right w:val="none" w:sz="0" w:space="0" w:color="auto"/>
      </w:divBdr>
    </w:div>
    <w:div w:id="903222171">
      <w:bodyDiv w:val="1"/>
      <w:marLeft w:val="0"/>
      <w:marRight w:val="0"/>
      <w:marTop w:val="0"/>
      <w:marBottom w:val="0"/>
      <w:divBdr>
        <w:top w:val="none" w:sz="0" w:space="0" w:color="auto"/>
        <w:left w:val="none" w:sz="0" w:space="0" w:color="auto"/>
        <w:bottom w:val="none" w:sz="0" w:space="0" w:color="auto"/>
        <w:right w:val="none" w:sz="0" w:space="0" w:color="auto"/>
      </w:divBdr>
    </w:div>
    <w:div w:id="908492325">
      <w:bodyDiv w:val="1"/>
      <w:marLeft w:val="0"/>
      <w:marRight w:val="0"/>
      <w:marTop w:val="0"/>
      <w:marBottom w:val="0"/>
      <w:divBdr>
        <w:top w:val="none" w:sz="0" w:space="0" w:color="auto"/>
        <w:left w:val="none" w:sz="0" w:space="0" w:color="auto"/>
        <w:bottom w:val="none" w:sz="0" w:space="0" w:color="auto"/>
        <w:right w:val="none" w:sz="0" w:space="0" w:color="auto"/>
      </w:divBdr>
    </w:div>
    <w:div w:id="913012200">
      <w:bodyDiv w:val="1"/>
      <w:marLeft w:val="0"/>
      <w:marRight w:val="0"/>
      <w:marTop w:val="0"/>
      <w:marBottom w:val="0"/>
      <w:divBdr>
        <w:top w:val="none" w:sz="0" w:space="0" w:color="auto"/>
        <w:left w:val="none" w:sz="0" w:space="0" w:color="auto"/>
        <w:bottom w:val="none" w:sz="0" w:space="0" w:color="auto"/>
        <w:right w:val="none" w:sz="0" w:space="0" w:color="auto"/>
      </w:divBdr>
    </w:div>
    <w:div w:id="919563828">
      <w:bodyDiv w:val="1"/>
      <w:marLeft w:val="0"/>
      <w:marRight w:val="0"/>
      <w:marTop w:val="0"/>
      <w:marBottom w:val="0"/>
      <w:divBdr>
        <w:top w:val="none" w:sz="0" w:space="0" w:color="auto"/>
        <w:left w:val="none" w:sz="0" w:space="0" w:color="auto"/>
        <w:bottom w:val="none" w:sz="0" w:space="0" w:color="auto"/>
        <w:right w:val="none" w:sz="0" w:space="0" w:color="auto"/>
      </w:divBdr>
    </w:div>
    <w:div w:id="934439439">
      <w:bodyDiv w:val="1"/>
      <w:marLeft w:val="0"/>
      <w:marRight w:val="0"/>
      <w:marTop w:val="0"/>
      <w:marBottom w:val="0"/>
      <w:divBdr>
        <w:top w:val="none" w:sz="0" w:space="0" w:color="auto"/>
        <w:left w:val="none" w:sz="0" w:space="0" w:color="auto"/>
        <w:bottom w:val="none" w:sz="0" w:space="0" w:color="auto"/>
        <w:right w:val="none" w:sz="0" w:space="0" w:color="auto"/>
      </w:divBdr>
    </w:div>
    <w:div w:id="934897368">
      <w:bodyDiv w:val="1"/>
      <w:marLeft w:val="0"/>
      <w:marRight w:val="0"/>
      <w:marTop w:val="0"/>
      <w:marBottom w:val="0"/>
      <w:divBdr>
        <w:top w:val="none" w:sz="0" w:space="0" w:color="auto"/>
        <w:left w:val="none" w:sz="0" w:space="0" w:color="auto"/>
        <w:bottom w:val="none" w:sz="0" w:space="0" w:color="auto"/>
        <w:right w:val="none" w:sz="0" w:space="0" w:color="auto"/>
      </w:divBdr>
    </w:div>
    <w:div w:id="936132452">
      <w:bodyDiv w:val="1"/>
      <w:marLeft w:val="0"/>
      <w:marRight w:val="0"/>
      <w:marTop w:val="0"/>
      <w:marBottom w:val="0"/>
      <w:divBdr>
        <w:top w:val="none" w:sz="0" w:space="0" w:color="auto"/>
        <w:left w:val="none" w:sz="0" w:space="0" w:color="auto"/>
        <w:bottom w:val="none" w:sz="0" w:space="0" w:color="auto"/>
        <w:right w:val="none" w:sz="0" w:space="0" w:color="auto"/>
      </w:divBdr>
    </w:div>
    <w:div w:id="936670073">
      <w:bodyDiv w:val="1"/>
      <w:marLeft w:val="0"/>
      <w:marRight w:val="0"/>
      <w:marTop w:val="0"/>
      <w:marBottom w:val="0"/>
      <w:divBdr>
        <w:top w:val="none" w:sz="0" w:space="0" w:color="auto"/>
        <w:left w:val="none" w:sz="0" w:space="0" w:color="auto"/>
        <w:bottom w:val="none" w:sz="0" w:space="0" w:color="auto"/>
        <w:right w:val="none" w:sz="0" w:space="0" w:color="auto"/>
      </w:divBdr>
    </w:div>
    <w:div w:id="945116251">
      <w:bodyDiv w:val="1"/>
      <w:marLeft w:val="0"/>
      <w:marRight w:val="0"/>
      <w:marTop w:val="0"/>
      <w:marBottom w:val="0"/>
      <w:divBdr>
        <w:top w:val="none" w:sz="0" w:space="0" w:color="auto"/>
        <w:left w:val="none" w:sz="0" w:space="0" w:color="auto"/>
        <w:bottom w:val="none" w:sz="0" w:space="0" w:color="auto"/>
        <w:right w:val="none" w:sz="0" w:space="0" w:color="auto"/>
      </w:divBdr>
    </w:div>
    <w:div w:id="978998809">
      <w:bodyDiv w:val="1"/>
      <w:marLeft w:val="0"/>
      <w:marRight w:val="0"/>
      <w:marTop w:val="0"/>
      <w:marBottom w:val="0"/>
      <w:divBdr>
        <w:top w:val="none" w:sz="0" w:space="0" w:color="auto"/>
        <w:left w:val="none" w:sz="0" w:space="0" w:color="auto"/>
        <w:bottom w:val="none" w:sz="0" w:space="0" w:color="auto"/>
        <w:right w:val="none" w:sz="0" w:space="0" w:color="auto"/>
      </w:divBdr>
    </w:div>
    <w:div w:id="994919382">
      <w:bodyDiv w:val="1"/>
      <w:marLeft w:val="0"/>
      <w:marRight w:val="0"/>
      <w:marTop w:val="0"/>
      <w:marBottom w:val="0"/>
      <w:divBdr>
        <w:top w:val="none" w:sz="0" w:space="0" w:color="auto"/>
        <w:left w:val="none" w:sz="0" w:space="0" w:color="auto"/>
        <w:bottom w:val="none" w:sz="0" w:space="0" w:color="auto"/>
        <w:right w:val="none" w:sz="0" w:space="0" w:color="auto"/>
      </w:divBdr>
    </w:div>
    <w:div w:id="995692863">
      <w:bodyDiv w:val="1"/>
      <w:marLeft w:val="0"/>
      <w:marRight w:val="0"/>
      <w:marTop w:val="0"/>
      <w:marBottom w:val="0"/>
      <w:divBdr>
        <w:top w:val="none" w:sz="0" w:space="0" w:color="auto"/>
        <w:left w:val="none" w:sz="0" w:space="0" w:color="auto"/>
        <w:bottom w:val="none" w:sz="0" w:space="0" w:color="auto"/>
        <w:right w:val="none" w:sz="0" w:space="0" w:color="auto"/>
      </w:divBdr>
    </w:div>
    <w:div w:id="1034504116">
      <w:bodyDiv w:val="1"/>
      <w:marLeft w:val="0"/>
      <w:marRight w:val="0"/>
      <w:marTop w:val="0"/>
      <w:marBottom w:val="0"/>
      <w:divBdr>
        <w:top w:val="none" w:sz="0" w:space="0" w:color="auto"/>
        <w:left w:val="none" w:sz="0" w:space="0" w:color="auto"/>
        <w:bottom w:val="none" w:sz="0" w:space="0" w:color="auto"/>
        <w:right w:val="none" w:sz="0" w:space="0" w:color="auto"/>
      </w:divBdr>
    </w:div>
    <w:div w:id="1042680639">
      <w:bodyDiv w:val="1"/>
      <w:marLeft w:val="0"/>
      <w:marRight w:val="0"/>
      <w:marTop w:val="0"/>
      <w:marBottom w:val="0"/>
      <w:divBdr>
        <w:top w:val="none" w:sz="0" w:space="0" w:color="auto"/>
        <w:left w:val="none" w:sz="0" w:space="0" w:color="auto"/>
        <w:bottom w:val="none" w:sz="0" w:space="0" w:color="auto"/>
        <w:right w:val="none" w:sz="0" w:space="0" w:color="auto"/>
      </w:divBdr>
    </w:div>
    <w:div w:id="1043868861">
      <w:bodyDiv w:val="1"/>
      <w:marLeft w:val="0"/>
      <w:marRight w:val="0"/>
      <w:marTop w:val="0"/>
      <w:marBottom w:val="0"/>
      <w:divBdr>
        <w:top w:val="none" w:sz="0" w:space="0" w:color="auto"/>
        <w:left w:val="none" w:sz="0" w:space="0" w:color="auto"/>
        <w:bottom w:val="none" w:sz="0" w:space="0" w:color="auto"/>
        <w:right w:val="none" w:sz="0" w:space="0" w:color="auto"/>
      </w:divBdr>
    </w:div>
    <w:div w:id="1069038011">
      <w:bodyDiv w:val="1"/>
      <w:marLeft w:val="0"/>
      <w:marRight w:val="0"/>
      <w:marTop w:val="0"/>
      <w:marBottom w:val="0"/>
      <w:divBdr>
        <w:top w:val="none" w:sz="0" w:space="0" w:color="auto"/>
        <w:left w:val="none" w:sz="0" w:space="0" w:color="auto"/>
        <w:bottom w:val="none" w:sz="0" w:space="0" w:color="auto"/>
        <w:right w:val="none" w:sz="0" w:space="0" w:color="auto"/>
      </w:divBdr>
    </w:div>
    <w:div w:id="1107122487">
      <w:bodyDiv w:val="1"/>
      <w:marLeft w:val="0"/>
      <w:marRight w:val="0"/>
      <w:marTop w:val="0"/>
      <w:marBottom w:val="0"/>
      <w:divBdr>
        <w:top w:val="none" w:sz="0" w:space="0" w:color="auto"/>
        <w:left w:val="none" w:sz="0" w:space="0" w:color="auto"/>
        <w:bottom w:val="none" w:sz="0" w:space="0" w:color="auto"/>
        <w:right w:val="none" w:sz="0" w:space="0" w:color="auto"/>
      </w:divBdr>
    </w:div>
    <w:div w:id="1107429072">
      <w:bodyDiv w:val="1"/>
      <w:marLeft w:val="0"/>
      <w:marRight w:val="0"/>
      <w:marTop w:val="0"/>
      <w:marBottom w:val="0"/>
      <w:divBdr>
        <w:top w:val="none" w:sz="0" w:space="0" w:color="auto"/>
        <w:left w:val="none" w:sz="0" w:space="0" w:color="auto"/>
        <w:bottom w:val="none" w:sz="0" w:space="0" w:color="auto"/>
        <w:right w:val="none" w:sz="0" w:space="0" w:color="auto"/>
      </w:divBdr>
    </w:div>
    <w:div w:id="1114983377">
      <w:bodyDiv w:val="1"/>
      <w:marLeft w:val="0"/>
      <w:marRight w:val="0"/>
      <w:marTop w:val="0"/>
      <w:marBottom w:val="0"/>
      <w:divBdr>
        <w:top w:val="none" w:sz="0" w:space="0" w:color="auto"/>
        <w:left w:val="none" w:sz="0" w:space="0" w:color="auto"/>
        <w:bottom w:val="none" w:sz="0" w:space="0" w:color="auto"/>
        <w:right w:val="none" w:sz="0" w:space="0" w:color="auto"/>
      </w:divBdr>
    </w:div>
    <w:div w:id="1118380210">
      <w:bodyDiv w:val="1"/>
      <w:marLeft w:val="0"/>
      <w:marRight w:val="0"/>
      <w:marTop w:val="0"/>
      <w:marBottom w:val="0"/>
      <w:divBdr>
        <w:top w:val="none" w:sz="0" w:space="0" w:color="auto"/>
        <w:left w:val="none" w:sz="0" w:space="0" w:color="auto"/>
        <w:bottom w:val="none" w:sz="0" w:space="0" w:color="auto"/>
        <w:right w:val="none" w:sz="0" w:space="0" w:color="auto"/>
      </w:divBdr>
    </w:div>
    <w:div w:id="1123228195">
      <w:bodyDiv w:val="1"/>
      <w:marLeft w:val="0"/>
      <w:marRight w:val="0"/>
      <w:marTop w:val="0"/>
      <w:marBottom w:val="0"/>
      <w:divBdr>
        <w:top w:val="none" w:sz="0" w:space="0" w:color="auto"/>
        <w:left w:val="none" w:sz="0" w:space="0" w:color="auto"/>
        <w:bottom w:val="none" w:sz="0" w:space="0" w:color="auto"/>
        <w:right w:val="none" w:sz="0" w:space="0" w:color="auto"/>
      </w:divBdr>
    </w:div>
    <w:div w:id="1132822473">
      <w:bodyDiv w:val="1"/>
      <w:marLeft w:val="0"/>
      <w:marRight w:val="0"/>
      <w:marTop w:val="0"/>
      <w:marBottom w:val="0"/>
      <w:divBdr>
        <w:top w:val="none" w:sz="0" w:space="0" w:color="auto"/>
        <w:left w:val="none" w:sz="0" w:space="0" w:color="auto"/>
        <w:bottom w:val="none" w:sz="0" w:space="0" w:color="auto"/>
        <w:right w:val="none" w:sz="0" w:space="0" w:color="auto"/>
      </w:divBdr>
    </w:div>
    <w:div w:id="1141311614">
      <w:bodyDiv w:val="1"/>
      <w:marLeft w:val="0"/>
      <w:marRight w:val="0"/>
      <w:marTop w:val="0"/>
      <w:marBottom w:val="0"/>
      <w:divBdr>
        <w:top w:val="none" w:sz="0" w:space="0" w:color="auto"/>
        <w:left w:val="none" w:sz="0" w:space="0" w:color="auto"/>
        <w:bottom w:val="none" w:sz="0" w:space="0" w:color="auto"/>
        <w:right w:val="none" w:sz="0" w:space="0" w:color="auto"/>
      </w:divBdr>
    </w:div>
    <w:div w:id="1141724759">
      <w:bodyDiv w:val="1"/>
      <w:marLeft w:val="0"/>
      <w:marRight w:val="0"/>
      <w:marTop w:val="0"/>
      <w:marBottom w:val="0"/>
      <w:divBdr>
        <w:top w:val="none" w:sz="0" w:space="0" w:color="auto"/>
        <w:left w:val="none" w:sz="0" w:space="0" w:color="auto"/>
        <w:bottom w:val="none" w:sz="0" w:space="0" w:color="auto"/>
        <w:right w:val="none" w:sz="0" w:space="0" w:color="auto"/>
      </w:divBdr>
    </w:div>
    <w:div w:id="1151210907">
      <w:bodyDiv w:val="1"/>
      <w:marLeft w:val="0"/>
      <w:marRight w:val="0"/>
      <w:marTop w:val="0"/>
      <w:marBottom w:val="0"/>
      <w:divBdr>
        <w:top w:val="none" w:sz="0" w:space="0" w:color="auto"/>
        <w:left w:val="none" w:sz="0" w:space="0" w:color="auto"/>
        <w:bottom w:val="none" w:sz="0" w:space="0" w:color="auto"/>
        <w:right w:val="none" w:sz="0" w:space="0" w:color="auto"/>
      </w:divBdr>
      <w:divsChild>
        <w:div w:id="1779986033">
          <w:marLeft w:val="1166"/>
          <w:marRight w:val="0"/>
          <w:marTop w:val="96"/>
          <w:marBottom w:val="0"/>
          <w:divBdr>
            <w:top w:val="none" w:sz="0" w:space="0" w:color="auto"/>
            <w:left w:val="none" w:sz="0" w:space="0" w:color="auto"/>
            <w:bottom w:val="none" w:sz="0" w:space="0" w:color="auto"/>
            <w:right w:val="none" w:sz="0" w:space="0" w:color="auto"/>
          </w:divBdr>
        </w:div>
        <w:div w:id="46148952">
          <w:marLeft w:val="1166"/>
          <w:marRight w:val="0"/>
          <w:marTop w:val="96"/>
          <w:marBottom w:val="0"/>
          <w:divBdr>
            <w:top w:val="none" w:sz="0" w:space="0" w:color="auto"/>
            <w:left w:val="none" w:sz="0" w:space="0" w:color="auto"/>
            <w:bottom w:val="none" w:sz="0" w:space="0" w:color="auto"/>
            <w:right w:val="none" w:sz="0" w:space="0" w:color="auto"/>
          </w:divBdr>
        </w:div>
        <w:div w:id="540478557">
          <w:marLeft w:val="1166"/>
          <w:marRight w:val="0"/>
          <w:marTop w:val="96"/>
          <w:marBottom w:val="0"/>
          <w:divBdr>
            <w:top w:val="none" w:sz="0" w:space="0" w:color="auto"/>
            <w:left w:val="none" w:sz="0" w:space="0" w:color="auto"/>
            <w:bottom w:val="none" w:sz="0" w:space="0" w:color="auto"/>
            <w:right w:val="none" w:sz="0" w:space="0" w:color="auto"/>
          </w:divBdr>
        </w:div>
        <w:div w:id="1990093435">
          <w:marLeft w:val="1166"/>
          <w:marRight w:val="0"/>
          <w:marTop w:val="96"/>
          <w:marBottom w:val="0"/>
          <w:divBdr>
            <w:top w:val="none" w:sz="0" w:space="0" w:color="auto"/>
            <w:left w:val="none" w:sz="0" w:space="0" w:color="auto"/>
            <w:bottom w:val="none" w:sz="0" w:space="0" w:color="auto"/>
            <w:right w:val="none" w:sz="0" w:space="0" w:color="auto"/>
          </w:divBdr>
        </w:div>
        <w:div w:id="677998593">
          <w:marLeft w:val="1166"/>
          <w:marRight w:val="0"/>
          <w:marTop w:val="96"/>
          <w:marBottom w:val="0"/>
          <w:divBdr>
            <w:top w:val="none" w:sz="0" w:space="0" w:color="auto"/>
            <w:left w:val="none" w:sz="0" w:space="0" w:color="auto"/>
            <w:bottom w:val="none" w:sz="0" w:space="0" w:color="auto"/>
            <w:right w:val="none" w:sz="0" w:space="0" w:color="auto"/>
          </w:divBdr>
        </w:div>
        <w:div w:id="843323714">
          <w:marLeft w:val="1166"/>
          <w:marRight w:val="0"/>
          <w:marTop w:val="96"/>
          <w:marBottom w:val="0"/>
          <w:divBdr>
            <w:top w:val="none" w:sz="0" w:space="0" w:color="auto"/>
            <w:left w:val="none" w:sz="0" w:space="0" w:color="auto"/>
            <w:bottom w:val="none" w:sz="0" w:space="0" w:color="auto"/>
            <w:right w:val="none" w:sz="0" w:space="0" w:color="auto"/>
          </w:divBdr>
        </w:div>
        <w:div w:id="982193926">
          <w:marLeft w:val="1166"/>
          <w:marRight w:val="0"/>
          <w:marTop w:val="96"/>
          <w:marBottom w:val="0"/>
          <w:divBdr>
            <w:top w:val="none" w:sz="0" w:space="0" w:color="auto"/>
            <w:left w:val="none" w:sz="0" w:space="0" w:color="auto"/>
            <w:bottom w:val="none" w:sz="0" w:space="0" w:color="auto"/>
            <w:right w:val="none" w:sz="0" w:space="0" w:color="auto"/>
          </w:divBdr>
        </w:div>
        <w:div w:id="369109022">
          <w:marLeft w:val="1166"/>
          <w:marRight w:val="0"/>
          <w:marTop w:val="96"/>
          <w:marBottom w:val="0"/>
          <w:divBdr>
            <w:top w:val="none" w:sz="0" w:space="0" w:color="auto"/>
            <w:left w:val="none" w:sz="0" w:space="0" w:color="auto"/>
            <w:bottom w:val="none" w:sz="0" w:space="0" w:color="auto"/>
            <w:right w:val="none" w:sz="0" w:space="0" w:color="auto"/>
          </w:divBdr>
        </w:div>
        <w:div w:id="1599215186">
          <w:marLeft w:val="1166"/>
          <w:marRight w:val="0"/>
          <w:marTop w:val="96"/>
          <w:marBottom w:val="0"/>
          <w:divBdr>
            <w:top w:val="none" w:sz="0" w:space="0" w:color="auto"/>
            <w:left w:val="none" w:sz="0" w:space="0" w:color="auto"/>
            <w:bottom w:val="none" w:sz="0" w:space="0" w:color="auto"/>
            <w:right w:val="none" w:sz="0" w:space="0" w:color="auto"/>
          </w:divBdr>
        </w:div>
        <w:div w:id="625740999">
          <w:marLeft w:val="1166"/>
          <w:marRight w:val="0"/>
          <w:marTop w:val="96"/>
          <w:marBottom w:val="0"/>
          <w:divBdr>
            <w:top w:val="none" w:sz="0" w:space="0" w:color="auto"/>
            <w:left w:val="none" w:sz="0" w:space="0" w:color="auto"/>
            <w:bottom w:val="none" w:sz="0" w:space="0" w:color="auto"/>
            <w:right w:val="none" w:sz="0" w:space="0" w:color="auto"/>
          </w:divBdr>
        </w:div>
        <w:div w:id="154300856">
          <w:marLeft w:val="1166"/>
          <w:marRight w:val="0"/>
          <w:marTop w:val="96"/>
          <w:marBottom w:val="0"/>
          <w:divBdr>
            <w:top w:val="none" w:sz="0" w:space="0" w:color="auto"/>
            <w:left w:val="none" w:sz="0" w:space="0" w:color="auto"/>
            <w:bottom w:val="none" w:sz="0" w:space="0" w:color="auto"/>
            <w:right w:val="none" w:sz="0" w:space="0" w:color="auto"/>
          </w:divBdr>
        </w:div>
      </w:divsChild>
    </w:div>
    <w:div w:id="1157501873">
      <w:bodyDiv w:val="1"/>
      <w:marLeft w:val="0"/>
      <w:marRight w:val="0"/>
      <w:marTop w:val="0"/>
      <w:marBottom w:val="0"/>
      <w:divBdr>
        <w:top w:val="none" w:sz="0" w:space="0" w:color="auto"/>
        <w:left w:val="none" w:sz="0" w:space="0" w:color="auto"/>
        <w:bottom w:val="none" w:sz="0" w:space="0" w:color="auto"/>
        <w:right w:val="none" w:sz="0" w:space="0" w:color="auto"/>
      </w:divBdr>
    </w:div>
    <w:div w:id="1174028213">
      <w:bodyDiv w:val="1"/>
      <w:marLeft w:val="0"/>
      <w:marRight w:val="0"/>
      <w:marTop w:val="0"/>
      <w:marBottom w:val="0"/>
      <w:divBdr>
        <w:top w:val="none" w:sz="0" w:space="0" w:color="auto"/>
        <w:left w:val="none" w:sz="0" w:space="0" w:color="auto"/>
        <w:bottom w:val="none" w:sz="0" w:space="0" w:color="auto"/>
        <w:right w:val="none" w:sz="0" w:space="0" w:color="auto"/>
      </w:divBdr>
    </w:div>
    <w:div w:id="1174802223">
      <w:bodyDiv w:val="1"/>
      <w:marLeft w:val="0"/>
      <w:marRight w:val="0"/>
      <w:marTop w:val="0"/>
      <w:marBottom w:val="0"/>
      <w:divBdr>
        <w:top w:val="none" w:sz="0" w:space="0" w:color="auto"/>
        <w:left w:val="none" w:sz="0" w:space="0" w:color="auto"/>
        <w:bottom w:val="none" w:sz="0" w:space="0" w:color="auto"/>
        <w:right w:val="none" w:sz="0" w:space="0" w:color="auto"/>
      </w:divBdr>
    </w:div>
    <w:div w:id="1186752092">
      <w:bodyDiv w:val="1"/>
      <w:marLeft w:val="0"/>
      <w:marRight w:val="0"/>
      <w:marTop w:val="0"/>
      <w:marBottom w:val="0"/>
      <w:divBdr>
        <w:top w:val="none" w:sz="0" w:space="0" w:color="auto"/>
        <w:left w:val="none" w:sz="0" w:space="0" w:color="auto"/>
        <w:bottom w:val="none" w:sz="0" w:space="0" w:color="auto"/>
        <w:right w:val="none" w:sz="0" w:space="0" w:color="auto"/>
      </w:divBdr>
    </w:div>
    <w:div w:id="1199245963">
      <w:bodyDiv w:val="1"/>
      <w:marLeft w:val="0"/>
      <w:marRight w:val="0"/>
      <w:marTop w:val="0"/>
      <w:marBottom w:val="0"/>
      <w:divBdr>
        <w:top w:val="none" w:sz="0" w:space="0" w:color="auto"/>
        <w:left w:val="none" w:sz="0" w:space="0" w:color="auto"/>
        <w:bottom w:val="none" w:sz="0" w:space="0" w:color="auto"/>
        <w:right w:val="none" w:sz="0" w:space="0" w:color="auto"/>
      </w:divBdr>
    </w:div>
    <w:div w:id="1205144744">
      <w:bodyDiv w:val="1"/>
      <w:marLeft w:val="0"/>
      <w:marRight w:val="0"/>
      <w:marTop w:val="0"/>
      <w:marBottom w:val="0"/>
      <w:divBdr>
        <w:top w:val="none" w:sz="0" w:space="0" w:color="auto"/>
        <w:left w:val="none" w:sz="0" w:space="0" w:color="auto"/>
        <w:bottom w:val="none" w:sz="0" w:space="0" w:color="auto"/>
        <w:right w:val="none" w:sz="0" w:space="0" w:color="auto"/>
      </w:divBdr>
    </w:div>
    <w:div w:id="1226768756">
      <w:bodyDiv w:val="1"/>
      <w:marLeft w:val="0"/>
      <w:marRight w:val="0"/>
      <w:marTop w:val="0"/>
      <w:marBottom w:val="0"/>
      <w:divBdr>
        <w:top w:val="none" w:sz="0" w:space="0" w:color="auto"/>
        <w:left w:val="none" w:sz="0" w:space="0" w:color="auto"/>
        <w:bottom w:val="none" w:sz="0" w:space="0" w:color="auto"/>
        <w:right w:val="none" w:sz="0" w:space="0" w:color="auto"/>
      </w:divBdr>
    </w:div>
    <w:div w:id="1228759582">
      <w:bodyDiv w:val="1"/>
      <w:marLeft w:val="0"/>
      <w:marRight w:val="0"/>
      <w:marTop w:val="0"/>
      <w:marBottom w:val="0"/>
      <w:divBdr>
        <w:top w:val="none" w:sz="0" w:space="0" w:color="auto"/>
        <w:left w:val="none" w:sz="0" w:space="0" w:color="auto"/>
        <w:bottom w:val="none" w:sz="0" w:space="0" w:color="auto"/>
        <w:right w:val="none" w:sz="0" w:space="0" w:color="auto"/>
      </w:divBdr>
    </w:div>
    <w:div w:id="1243879642">
      <w:bodyDiv w:val="1"/>
      <w:marLeft w:val="0"/>
      <w:marRight w:val="0"/>
      <w:marTop w:val="0"/>
      <w:marBottom w:val="0"/>
      <w:divBdr>
        <w:top w:val="none" w:sz="0" w:space="0" w:color="auto"/>
        <w:left w:val="none" w:sz="0" w:space="0" w:color="auto"/>
        <w:bottom w:val="none" w:sz="0" w:space="0" w:color="auto"/>
        <w:right w:val="none" w:sz="0" w:space="0" w:color="auto"/>
      </w:divBdr>
    </w:div>
    <w:div w:id="1245065751">
      <w:bodyDiv w:val="1"/>
      <w:marLeft w:val="0"/>
      <w:marRight w:val="0"/>
      <w:marTop w:val="0"/>
      <w:marBottom w:val="0"/>
      <w:divBdr>
        <w:top w:val="none" w:sz="0" w:space="0" w:color="auto"/>
        <w:left w:val="none" w:sz="0" w:space="0" w:color="auto"/>
        <w:bottom w:val="none" w:sz="0" w:space="0" w:color="auto"/>
        <w:right w:val="none" w:sz="0" w:space="0" w:color="auto"/>
      </w:divBdr>
    </w:div>
    <w:div w:id="1257709172">
      <w:bodyDiv w:val="1"/>
      <w:marLeft w:val="0"/>
      <w:marRight w:val="0"/>
      <w:marTop w:val="0"/>
      <w:marBottom w:val="0"/>
      <w:divBdr>
        <w:top w:val="none" w:sz="0" w:space="0" w:color="auto"/>
        <w:left w:val="none" w:sz="0" w:space="0" w:color="auto"/>
        <w:bottom w:val="none" w:sz="0" w:space="0" w:color="auto"/>
        <w:right w:val="none" w:sz="0" w:space="0" w:color="auto"/>
      </w:divBdr>
    </w:div>
    <w:div w:id="1266814935">
      <w:bodyDiv w:val="1"/>
      <w:marLeft w:val="0"/>
      <w:marRight w:val="0"/>
      <w:marTop w:val="0"/>
      <w:marBottom w:val="0"/>
      <w:divBdr>
        <w:top w:val="none" w:sz="0" w:space="0" w:color="auto"/>
        <w:left w:val="none" w:sz="0" w:space="0" w:color="auto"/>
        <w:bottom w:val="none" w:sz="0" w:space="0" w:color="auto"/>
        <w:right w:val="none" w:sz="0" w:space="0" w:color="auto"/>
      </w:divBdr>
    </w:div>
    <w:div w:id="1268587921">
      <w:bodyDiv w:val="1"/>
      <w:marLeft w:val="0"/>
      <w:marRight w:val="0"/>
      <w:marTop w:val="0"/>
      <w:marBottom w:val="0"/>
      <w:divBdr>
        <w:top w:val="none" w:sz="0" w:space="0" w:color="auto"/>
        <w:left w:val="none" w:sz="0" w:space="0" w:color="auto"/>
        <w:bottom w:val="none" w:sz="0" w:space="0" w:color="auto"/>
        <w:right w:val="none" w:sz="0" w:space="0" w:color="auto"/>
      </w:divBdr>
    </w:div>
    <w:div w:id="1311865639">
      <w:bodyDiv w:val="1"/>
      <w:marLeft w:val="0"/>
      <w:marRight w:val="0"/>
      <w:marTop w:val="0"/>
      <w:marBottom w:val="0"/>
      <w:divBdr>
        <w:top w:val="none" w:sz="0" w:space="0" w:color="auto"/>
        <w:left w:val="none" w:sz="0" w:space="0" w:color="auto"/>
        <w:bottom w:val="none" w:sz="0" w:space="0" w:color="auto"/>
        <w:right w:val="none" w:sz="0" w:space="0" w:color="auto"/>
      </w:divBdr>
    </w:div>
    <w:div w:id="1347750240">
      <w:bodyDiv w:val="1"/>
      <w:marLeft w:val="0"/>
      <w:marRight w:val="0"/>
      <w:marTop w:val="0"/>
      <w:marBottom w:val="0"/>
      <w:divBdr>
        <w:top w:val="none" w:sz="0" w:space="0" w:color="auto"/>
        <w:left w:val="none" w:sz="0" w:space="0" w:color="auto"/>
        <w:bottom w:val="none" w:sz="0" w:space="0" w:color="auto"/>
        <w:right w:val="none" w:sz="0" w:space="0" w:color="auto"/>
      </w:divBdr>
    </w:div>
    <w:div w:id="1356810792">
      <w:bodyDiv w:val="1"/>
      <w:marLeft w:val="0"/>
      <w:marRight w:val="0"/>
      <w:marTop w:val="0"/>
      <w:marBottom w:val="0"/>
      <w:divBdr>
        <w:top w:val="none" w:sz="0" w:space="0" w:color="auto"/>
        <w:left w:val="none" w:sz="0" w:space="0" w:color="auto"/>
        <w:bottom w:val="none" w:sz="0" w:space="0" w:color="auto"/>
        <w:right w:val="none" w:sz="0" w:space="0" w:color="auto"/>
      </w:divBdr>
    </w:div>
    <w:div w:id="1375999996">
      <w:bodyDiv w:val="1"/>
      <w:marLeft w:val="0"/>
      <w:marRight w:val="0"/>
      <w:marTop w:val="0"/>
      <w:marBottom w:val="0"/>
      <w:divBdr>
        <w:top w:val="none" w:sz="0" w:space="0" w:color="auto"/>
        <w:left w:val="none" w:sz="0" w:space="0" w:color="auto"/>
        <w:bottom w:val="none" w:sz="0" w:space="0" w:color="auto"/>
        <w:right w:val="none" w:sz="0" w:space="0" w:color="auto"/>
      </w:divBdr>
    </w:div>
    <w:div w:id="1377117352">
      <w:bodyDiv w:val="1"/>
      <w:marLeft w:val="0"/>
      <w:marRight w:val="0"/>
      <w:marTop w:val="0"/>
      <w:marBottom w:val="0"/>
      <w:divBdr>
        <w:top w:val="none" w:sz="0" w:space="0" w:color="auto"/>
        <w:left w:val="none" w:sz="0" w:space="0" w:color="auto"/>
        <w:bottom w:val="none" w:sz="0" w:space="0" w:color="auto"/>
        <w:right w:val="none" w:sz="0" w:space="0" w:color="auto"/>
      </w:divBdr>
    </w:div>
    <w:div w:id="1389063977">
      <w:bodyDiv w:val="1"/>
      <w:marLeft w:val="0"/>
      <w:marRight w:val="0"/>
      <w:marTop w:val="0"/>
      <w:marBottom w:val="0"/>
      <w:divBdr>
        <w:top w:val="none" w:sz="0" w:space="0" w:color="auto"/>
        <w:left w:val="none" w:sz="0" w:space="0" w:color="auto"/>
        <w:bottom w:val="none" w:sz="0" w:space="0" w:color="auto"/>
        <w:right w:val="none" w:sz="0" w:space="0" w:color="auto"/>
      </w:divBdr>
    </w:div>
    <w:div w:id="1399210644">
      <w:bodyDiv w:val="1"/>
      <w:marLeft w:val="0"/>
      <w:marRight w:val="0"/>
      <w:marTop w:val="0"/>
      <w:marBottom w:val="0"/>
      <w:divBdr>
        <w:top w:val="none" w:sz="0" w:space="0" w:color="auto"/>
        <w:left w:val="none" w:sz="0" w:space="0" w:color="auto"/>
        <w:bottom w:val="none" w:sz="0" w:space="0" w:color="auto"/>
        <w:right w:val="none" w:sz="0" w:space="0" w:color="auto"/>
      </w:divBdr>
    </w:div>
    <w:div w:id="1406493202">
      <w:bodyDiv w:val="1"/>
      <w:marLeft w:val="0"/>
      <w:marRight w:val="0"/>
      <w:marTop w:val="0"/>
      <w:marBottom w:val="0"/>
      <w:divBdr>
        <w:top w:val="none" w:sz="0" w:space="0" w:color="auto"/>
        <w:left w:val="none" w:sz="0" w:space="0" w:color="auto"/>
        <w:bottom w:val="none" w:sz="0" w:space="0" w:color="auto"/>
        <w:right w:val="none" w:sz="0" w:space="0" w:color="auto"/>
      </w:divBdr>
    </w:div>
    <w:div w:id="1410037804">
      <w:bodyDiv w:val="1"/>
      <w:marLeft w:val="0"/>
      <w:marRight w:val="0"/>
      <w:marTop w:val="0"/>
      <w:marBottom w:val="0"/>
      <w:divBdr>
        <w:top w:val="none" w:sz="0" w:space="0" w:color="auto"/>
        <w:left w:val="none" w:sz="0" w:space="0" w:color="auto"/>
        <w:bottom w:val="none" w:sz="0" w:space="0" w:color="auto"/>
        <w:right w:val="none" w:sz="0" w:space="0" w:color="auto"/>
      </w:divBdr>
    </w:div>
    <w:div w:id="1417634900">
      <w:bodyDiv w:val="1"/>
      <w:marLeft w:val="0"/>
      <w:marRight w:val="0"/>
      <w:marTop w:val="0"/>
      <w:marBottom w:val="0"/>
      <w:divBdr>
        <w:top w:val="none" w:sz="0" w:space="0" w:color="auto"/>
        <w:left w:val="none" w:sz="0" w:space="0" w:color="auto"/>
        <w:bottom w:val="none" w:sz="0" w:space="0" w:color="auto"/>
        <w:right w:val="none" w:sz="0" w:space="0" w:color="auto"/>
      </w:divBdr>
    </w:div>
    <w:div w:id="1423799070">
      <w:bodyDiv w:val="1"/>
      <w:marLeft w:val="0"/>
      <w:marRight w:val="0"/>
      <w:marTop w:val="0"/>
      <w:marBottom w:val="0"/>
      <w:divBdr>
        <w:top w:val="none" w:sz="0" w:space="0" w:color="auto"/>
        <w:left w:val="none" w:sz="0" w:space="0" w:color="auto"/>
        <w:bottom w:val="none" w:sz="0" w:space="0" w:color="auto"/>
        <w:right w:val="none" w:sz="0" w:space="0" w:color="auto"/>
      </w:divBdr>
    </w:div>
    <w:div w:id="1442383283">
      <w:bodyDiv w:val="1"/>
      <w:marLeft w:val="0"/>
      <w:marRight w:val="0"/>
      <w:marTop w:val="0"/>
      <w:marBottom w:val="0"/>
      <w:divBdr>
        <w:top w:val="none" w:sz="0" w:space="0" w:color="auto"/>
        <w:left w:val="none" w:sz="0" w:space="0" w:color="auto"/>
        <w:bottom w:val="none" w:sz="0" w:space="0" w:color="auto"/>
        <w:right w:val="none" w:sz="0" w:space="0" w:color="auto"/>
      </w:divBdr>
    </w:div>
    <w:div w:id="1471362043">
      <w:bodyDiv w:val="1"/>
      <w:marLeft w:val="0"/>
      <w:marRight w:val="0"/>
      <w:marTop w:val="0"/>
      <w:marBottom w:val="0"/>
      <w:divBdr>
        <w:top w:val="none" w:sz="0" w:space="0" w:color="auto"/>
        <w:left w:val="none" w:sz="0" w:space="0" w:color="auto"/>
        <w:bottom w:val="none" w:sz="0" w:space="0" w:color="auto"/>
        <w:right w:val="none" w:sz="0" w:space="0" w:color="auto"/>
      </w:divBdr>
    </w:div>
    <w:div w:id="1482112478">
      <w:bodyDiv w:val="1"/>
      <w:marLeft w:val="0"/>
      <w:marRight w:val="0"/>
      <w:marTop w:val="0"/>
      <w:marBottom w:val="0"/>
      <w:divBdr>
        <w:top w:val="none" w:sz="0" w:space="0" w:color="auto"/>
        <w:left w:val="none" w:sz="0" w:space="0" w:color="auto"/>
        <w:bottom w:val="none" w:sz="0" w:space="0" w:color="auto"/>
        <w:right w:val="none" w:sz="0" w:space="0" w:color="auto"/>
      </w:divBdr>
    </w:div>
    <w:div w:id="1505710172">
      <w:bodyDiv w:val="1"/>
      <w:marLeft w:val="0"/>
      <w:marRight w:val="0"/>
      <w:marTop w:val="0"/>
      <w:marBottom w:val="0"/>
      <w:divBdr>
        <w:top w:val="none" w:sz="0" w:space="0" w:color="auto"/>
        <w:left w:val="none" w:sz="0" w:space="0" w:color="auto"/>
        <w:bottom w:val="none" w:sz="0" w:space="0" w:color="auto"/>
        <w:right w:val="none" w:sz="0" w:space="0" w:color="auto"/>
      </w:divBdr>
    </w:div>
    <w:div w:id="1538541143">
      <w:bodyDiv w:val="1"/>
      <w:marLeft w:val="0"/>
      <w:marRight w:val="0"/>
      <w:marTop w:val="0"/>
      <w:marBottom w:val="0"/>
      <w:divBdr>
        <w:top w:val="none" w:sz="0" w:space="0" w:color="auto"/>
        <w:left w:val="none" w:sz="0" w:space="0" w:color="auto"/>
        <w:bottom w:val="none" w:sz="0" w:space="0" w:color="auto"/>
        <w:right w:val="none" w:sz="0" w:space="0" w:color="auto"/>
      </w:divBdr>
    </w:div>
    <w:div w:id="1545170259">
      <w:bodyDiv w:val="1"/>
      <w:marLeft w:val="0"/>
      <w:marRight w:val="0"/>
      <w:marTop w:val="0"/>
      <w:marBottom w:val="0"/>
      <w:divBdr>
        <w:top w:val="none" w:sz="0" w:space="0" w:color="auto"/>
        <w:left w:val="none" w:sz="0" w:space="0" w:color="auto"/>
        <w:bottom w:val="none" w:sz="0" w:space="0" w:color="auto"/>
        <w:right w:val="none" w:sz="0" w:space="0" w:color="auto"/>
      </w:divBdr>
    </w:div>
    <w:div w:id="1554540798">
      <w:bodyDiv w:val="1"/>
      <w:marLeft w:val="0"/>
      <w:marRight w:val="0"/>
      <w:marTop w:val="0"/>
      <w:marBottom w:val="0"/>
      <w:divBdr>
        <w:top w:val="none" w:sz="0" w:space="0" w:color="auto"/>
        <w:left w:val="none" w:sz="0" w:space="0" w:color="auto"/>
        <w:bottom w:val="none" w:sz="0" w:space="0" w:color="auto"/>
        <w:right w:val="none" w:sz="0" w:space="0" w:color="auto"/>
      </w:divBdr>
    </w:div>
    <w:div w:id="1565338434">
      <w:bodyDiv w:val="1"/>
      <w:marLeft w:val="0"/>
      <w:marRight w:val="0"/>
      <w:marTop w:val="0"/>
      <w:marBottom w:val="0"/>
      <w:divBdr>
        <w:top w:val="none" w:sz="0" w:space="0" w:color="auto"/>
        <w:left w:val="none" w:sz="0" w:space="0" w:color="auto"/>
        <w:bottom w:val="none" w:sz="0" w:space="0" w:color="auto"/>
        <w:right w:val="none" w:sz="0" w:space="0" w:color="auto"/>
      </w:divBdr>
    </w:div>
    <w:div w:id="1565724971">
      <w:bodyDiv w:val="1"/>
      <w:marLeft w:val="0"/>
      <w:marRight w:val="0"/>
      <w:marTop w:val="0"/>
      <w:marBottom w:val="0"/>
      <w:divBdr>
        <w:top w:val="none" w:sz="0" w:space="0" w:color="auto"/>
        <w:left w:val="none" w:sz="0" w:space="0" w:color="auto"/>
        <w:bottom w:val="none" w:sz="0" w:space="0" w:color="auto"/>
        <w:right w:val="none" w:sz="0" w:space="0" w:color="auto"/>
      </w:divBdr>
    </w:div>
    <w:div w:id="1578828284">
      <w:bodyDiv w:val="1"/>
      <w:marLeft w:val="0"/>
      <w:marRight w:val="0"/>
      <w:marTop w:val="0"/>
      <w:marBottom w:val="0"/>
      <w:divBdr>
        <w:top w:val="none" w:sz="0" w:space="0" w:color="auto"/>
        <w:left w:val="none" w:sz="0" w:space="0" w:color="auto"/>
        <w:bottom w:val="none" w:sz="0" w:space="0" w:color="auto"/>
        <w:right w:val="none" w:sz="0" w:space="0" w:color="auto"/>
      </w:divBdr>
    </w:div>
    <w:div w:id="1589266910">
      <w:bodyDiv w:val="1"/>
      <w:marLeft w:val="0"/>
      <w:marRight w:val="0"/>
      <w:marTop w:val="0"/>
      <w:marBottom w:val="0"/>
      <w:divBdr>
        <w:top w:val="none" w:sz="0" w:space="0" w:color="auto"/>
        <w:left w:val="none" w:sz="0" w:space="0" w:color="auto"/>
        <w:bottom w:val="none" w:sz="0" w:space="0" w:color="auto"/>
        <w:right w:val="none" w:sz="0" w:space="0" w:color="auto"/>
      </w:divBdr>
    </w:div>
    <w:div w:id="1644889428">
      <w:bodyDiv w:val="1"/>
      <w:marLeft w:val="0"/>
      <w:marRight w:val="0"/>
      <w:marTop w:val="0"/>
      <w:marBottom w:val="0"/>
      <w:divBdr>
        <w:top w:val="none" w:sz="0" w:space="0" w:color="auto"/>
        <w:left w:val="none" w:sz="0" w:space="0" w:color="auto"/>
        <w:bottom w:val="none" w:sz="0" w:space="0" w:color="auto"/>
        <w:right w:val="none" w:sz="0" w:space="0" w:color="auto"/>
      </w:divBdr>
    </w:div>
    <w:div w:id="1674070505">
      <w:bodyDiv w:val="1"/>
      <w:marLeft w:val="0"/>
      <w:marRight w:val="0"/>
      <w:marTop w:val="0"/>
      <w:marBottom w:val="0"/>
      <w:divBdr>
        <w:top w:val="none" w:sz="0" w:space="0" w:color="auto"/>
        <w:left w:val="none" w:sz="0" w:space="0" w:color="auto"/>
        <w:bottom w:val="none" w:sz="0" w:space="0" w:color="auto"/>
        <w:right w:val="none" w:sz="0" w:space="0" w:color="auto"/>
      </w:divBdr>
    </w:div>
    <w:div w:id="1679187750">
      <w:bodyDiv w:val="1"/>
      <w:marLeft w:val="0"/>
      <w:marRight w:val="0"/>
      <w:marTop w:val="0"/>
      <w:marBottom w:val="0"/>
      <w:divBdr>
        <w:top w:val="none" w:sz="0" w:space="0" w:color="auto"/>
        <w:left w:val="none" w:sz="0" w:space="0" w:color="auto"/>
        <w:bottom w:val="none" w:sz="0" w:space="0" w:color="auto"/>
        <w:right w:val="none" w:sz="0" w:space="0" w:color="auto"/>
      </w:divBdr>
    </w:div>
    <w:div w:id="1698392062">
      <w:bodyDiv w:val="1"/>
      <w:marLeft w:val="0"/>
      <w:marRight w:val="0"/>
      <w:marTop w:val="0"/>
      <w:marBottom w:val="0"/>
      <w:divBdr>
        <w:top w:val="none" w:sz="0" w:space="0" w:color="auto"/>
        <w:left w:val="none" w:sz="0" w:space="0" w:color="auto"/>
        <w:bottom w:val="none" w:sz="0" w:space="0" w:color="auto"/>
        <w:right w:val="none" w:sz="0" w:space="0" w:color="auto"/>
      </w:divBdr>
    </w:div>
    <w:div w:id="1761637738">
      <w:bodyDiv w:val="1"/>
      <w:marLeft w:val="0"/>
      <w:marRight w:val="0"/>
      <w:marTop w:val="0"/>
      <w:marBottom w:val="0"/>
      <w:divBdr>
        <w:top w:val="none" w:sz="0" w:space="0" w:color="auto"/>
        <w:left w:val="none" w:sz="0" w:space="0" w:color="auto"/>
        <w:bottom w:val="none" w:sz="0" w:space="0" w:color="auto"/>
        <w:right w:val="none" w:sz="0" w:space="0" w:color="auto"/>
      </w:divBdr>
    </w:div>
    <w:div w:id="1762801161">
      <w:bodyDiv w:val="1"/>
      <w:marLeft w:val="0"/>
      <w:marRight w:val="0"/>
      <w:marTop w:val="0"/>
      <w:marBottom w:val="0"/>
      <w:divBdr>
        <w:top w:val="none" w:sz="0" w:space="0" w:color="auto"/>
        <w:left w:val="none" w:sz="0" w:space="0" w:color="auto"/>
        <w:bottom w:val="none" w:sz="0" w:space="0" w:color="auto"/>
        <w:right w:val="none" w:sz="0" w:space="0" w:color="auto"/>
      </w:divBdr>
    </w:div>
    <w:div w:id="1780948276">
      <w:bodyDiv w:val="1"/>
      <w:marLeft w:val="0"/>
      <w:marRight w:val="0"/>
      <w:marTop w:val="0"/>
      <w:marBottom w:val="0"/>
      <w:divBdr>
        <w:top w:val="none" w:sz="0" w:space="0" w:color="auto"/>
        <w:left w:val="none" w:sz="0" w:space="0" w:color="auto"/>
        <w:bottom w:val="none" w:sz="0" w:space="0" w:color="auto"/>
        <w:right w:val="none" w:sz="0" w:space="0" w:color="auto"/>
      </w:divBdr>
    </w:div>
    <w:div w:id="1788037949">
      <w:bodyDiv w:val="1"/>
      <w:marLeft w:val="0"/>
      <w:marRight w:val="0"/>
      <w:marTop w:val="0"/>
      <w:marBottom w:val="0"/>
      <w:divBdr>
        <w:top w:val="none" w:sz="0" w:space="0" w:color="auto"/>
        <w:left w:val="none" w:sz="0" w:space="0" w:color="auto"/>
        <w:bottom w:val="none" w:sz="0" w:space="0" w:color="auto"/>
        <w:right w:val="none" w:sz="0" w:space="0" w:color="auto"/>
      </w:divBdr>
    </w:div>
    <w:div w:id="1788085720">
      <w:bodyDiv w:val="1"/>
      <w:marLeft w:val="0"/>
      <w:marRight w:val="0"/>
      <w:marTop w:val="0"/>
      <w:marBottom w:val="0"/>
      <w:divBdr>
        <w:top w:val="none" w:sz="0" w:space="0" w:color="auto"/>
        <w:left w:val="none" w:sz="0" w:space="0" w:color="auto"/>
        <w:bottom w:val="none" w:sz="0" w:space="0" w:color="auto"/>
        <w:right w:val="none" w:sz="0" w:space="0" w:color="auto"/>
      </w:divBdr>
      <w:divsChild>
        <w:div w:id="498470188">
          <w:marLeft w:val="547"/>
          <w:marRight w:val="0"/>
          <w:marTop w:val="130"/>
          <w:marBottom w:val="0"/>
          <w:divBdr>
            <w:top w:val="none" w:sz="0" w:space="0" w:color="auto"/>
            <w:left w:val="none" w:sz="0" w:space="0" w:color="auto"/>
            <w:bottom w:val="none" w:sz="0" w:space="0" w:color="auto"/>
            <w:right w:val="none" w:sz="0" w:space="0" w:color="auto"/>
          </w:divBdr>
        </w:div>
        <w:div w:id="83495813">
          <w:marLeft w:val="547"/>
          <w:marRight w:val="0"/>
          <w:marTop w:val="130"/>
          <w:marBottom w:val="0"/>
          <w:divBdr>
            <w:top w:val="none" w:sz="0" w:space="0" w:color="auto"/>
            <w:left w:val="none" w:sz="0" w:space="0" w:color="auto"/>
            <w:bottom w:val="none" w:sz="0" w:space="0" w:color="auto"/>
            <w:right w:val="none" w:sz="0" w:space="0" w:color="auto"/>
          </w:divBdr>
        </w:div>
      </w:divsChild>
    </w:div>
    <w:div w:id="1790202927">
      <w:bodyDiv w:val="1"/>
      <w:marLeft w:val="0"/>
      <w:marRight w:val="0"/>
      <w:marTop w:val="0"/>
      <w:marBottom w:val="0"/>
      <w:divBdr>
        <w:top w:val="none" w:sz="0" w:space="0" w:color="auto"/>
        <w:left w:val="none" w:sz="0" w:space="0" w:color="auto"/>
        <w:bottom w:val="none" w:sz="0" w:space="0" w:color="auto"/>
        <w:right w:val="none" w:sz="0" w:space="0" w:color="auto"/>
      </w:divBdr>
    </w:div>
    <w:div w:id="1797990357">
      <w:bodyDiv w:val="1"/>
      <w:marLeft w:val="0"/>
      <w:marRight w:val="0"/>
      <w:marTop w:val="0"/>
      <w:marBottom w:val="0"/>
      <w:divBdr>
        <w:top w:val="none" w:sz="0" w:space="0" w:color="auto"/>
        <w:left w:val="none" w:sz="0" w:space="0" w:color="auto"/>
        <w:bottom w:val="none" w:sz="0" w:space="0" w:color="auto"/>
        <w:right w:val="none" w:sz="0" w:space="0" w:color="auto"/>
      </w:divBdr>
    </w:div>
    <w:div w:id="1801800159">
      <w:bodyDiv w:val="1"/>
      <w:marLeft w:val="0"/>
      <w:marRight w:val="0"/>
      <w:marTop w:val="0"/>
      <w:marBottom w:val="0"/>
      <w:divBdr>
        <w:top w:val="none" w:sz="0" w:space="0" w:color="auto"/>
        <w:left w:val="none" w:sz="0" w:space="0" w:color="auto"/>
        <w:bottom w:val="none" w:sz="0" w:space="0" w:color="auto"/>
        <w:right w:val="none" w:sz="0" w:space="0" w:color="auto"/>
      </w:divBdr>
    </w:div>
    <w:div w:id="1827940604">
      <w:bodyDiv w:val="1"/>
      <w:marLeft w:val="0"/>
      <w:marRight w:val="0"/>
      <w:marTop w:val="0"/>
      <w:marBottom w:val="0"/>
      <w:divBdr>
        <w:top w:val="none" w:sz="0" w:space="0" w:color="auto"/>
        <w:left w:val="none" w:sz="0" w:space="0" w:color="auto"/>
        <w:bottom w:val="none" w:sz="0" w:space="0" w:color="auto"/>
        <w:right w:val="none" w:sz="0" w:space="0" w:color="auto"/>
      </w:divBdr>
    </w:div>
    <w:div w:id="1837957148">
      <w:bodyDiv w:val="1"/>
      <w:marLeft w:val="0"/>
      <w:marRight w:val="0"/>
      <w:marTop w:val="0"/>
      <w:marBottom w:val="0"/>
      <w:divBdr>
        <w:top w:val="none" w:sz="0" w:space="0" w:color="auto"/>
        <w:left w:val="none" w:sz="0" w:space="0" w:color="auto"/>
        <w:bottom w:val="none" w:sz="0" w:space="0" w:color="auto"/>
        <w:right w:val="none" w:sz="0" w:space="0" w:color="auto"/>
      </w:divBdr>
    </w:div>
    <w:div w:id="1860504706">
      <w:bodyDiv w:val="1"/>
      <w:marLeft w:val="0"/>
      <w:marRight w:val="0"/>
      <w:marTop w:val="0"/>
      <w:marBottom w:val="0"/>
      <w:divBdr>
        <w:top w:val="none" w:sz="0" w:space="0" w:color="auto"/>
        <w:left w:val="none" w:sz="0" w:space="0" w:color="auto"/>
        <w:bottom w:val="none" w:sz="0" w:space="0" w:color="auto"/>
        <w:right w:val="none" w:sz="0" w:space="0" w:color="auto"/>
      </w:divBdr>
    </w:div>
    <w:div w:id="1866165086">
      <w:bodyDiv w:val="1"/>
      <w:marLeft w:val="0"/>
      <w:marRight w:val="0"/>
      <w:marTop w:val="0"/>
      <w:marBottom w:val="0"/>
      <w:divBdr>
        <w:top w:val="none" w:sz="0" w:space="0" w:color="auto"/>
        <w:left w:val="none" w:sz="0" w:space="0" w:color="auto"/>
        <w:bottom w:val="none" w:sz="0" w:space="0" w:color="auto"/>
        <w:right w:val="none" w:sz="0" w:space="0" w:color="auto"/>
      </w:divBdr>
    </w:div>
    <w:div w:id="1873609061">
      <w:bodyDiv w:val="1"/>
      <w:marLeft w:val="0"/>
      <w:marRight w:val="0"/>
      <w:marTop w:val="0"/>
      <w:marBottom w:val="0"/>
      <w:divBdr>
        <w:top w:val="none" w:sz="0" w:space="0" w:color="auto"/>
        <w:left w:val="none" w:sz="0" w:space="0" w:color="auto"/>
        <w:bottom w:val="none" w:sz="0" w:space="0" w:color="auto"/>
        <w:right w:val="none" w:sz="0" w:space="0" w:color="auto"/>
      </w:divBdr>
    </w:div>
    <w:div w:id="1873762701">
      <w:bodyDiv w:val="1"/>
      <w:marLeft w:val="0"/>
      <w:marRight w:val="0"/>
      <w:marTop w:val="0"/>
      <w:marBottom w:val="0"/>
      <w:divBdr>
        <w:top w:val="none" w:sz="0" w:space="0" w:color="auto"/>
        <w:left w:val="none" w:sz="0" w:space="0" w:color="auto"/>
        <w:bottom w:val="none" w:sz="0" w:space="0" w:color="auto"/>
        <w:right w:val="none" w:sz="0" w:space="0" w:color="auto"/>
      </w:divBdr>
    </w:div>
    <w:div w:id="1875344319">
      <w:bodyDiv w:val="1"/>
      <w:marLeft w:val="0"/>
      <w:marRight w:val="0"/>
      <w:marTop w:val="0"/>
      <w:marBottom w:val="0"/>
      <w:divBdr>
        <w:top w:val="none" w:sz="0" w:space="0" w:color="auto"/>
        <w:left w:val="none" w:sz="0" w:space="0" w:color="auto"/>
        <w:bottom w:val="none" w:sz="0" w:space="0" w:color="auto"/>
        <w:right w:val="none" w:sz="0" w:space="0" w:color="auto"/>
      </w:divBdr>
    </w:div>
    <w:div w:id="1885681090">
      <w:bodyDiv w:val="1"/>
      <w:marLeft w:val="0"/>
      <w:marRight w:val="0"/>
      <w:marTop w:val="0"/>
      <w:marBottom w:val="0"/>
      <w:divBdr>
        <w:top w:val="none" w:sz="0" w:space="0" w:color="auto"/>
        <w:left w:val="none" w:sz="0" w:space="0" w:color="auto"/>
        <w:bottom w:val="none" w:sz="0" w:space="0" w:color="auto"/>
        <w:right w:val="none" w:sz="0" w:space="0" w:color="auto"/>
      </w:divBdr>
    </w:div>
    <w:div w:id="1893468558">
      <w:bodyDiv w:val="1"/>
      <w:marLeft w:val="0"/>
      <w:marRight w:val="0"/>
      <w:marTop w:val="0"/>
      <w:marBottom w:val="0"/>
      <w:divBdr>
        <w:top w:val="none" w:sz="0" w:space="0" w:color="auto"/>
        <w:left w:val="none" w:sz="0" w:space="0" w:color="auto"/>
        <w:bottom w:val="none" w:sz="0" w:space="0" w:color="auto"/>
        <w:right w:val="none" w:sz="0" w:space="0" w:color="auto"/>
      </w:divBdr>
    </w:div>
    <w:div w:id="1895507013">
      <w:bodyDiv w:val="1"/>
      <w:marLeft w:val="0"/>
      <w:marRight w:val="0"/>
      <w:marTop w:val="0"/>
      <w:marBottom w:val="0"/>
      <w:divBdr>
        <w:top w:val="none" w:sz="0" w:space="0" w:color="auto"/>
        <w:left w:val="none" w:sz="0" w:space="0" w:color="auto"/>
        <w:bottom w:val="none" w:sz="0" w:space="0" w:color="auto"/>
        <w:right w:val="none" w:sz="0" w:space="0" w:color="auto"/>
      </w:divBdr>
    </w:div>
    <w:div w:id="1922176958">
      <w:bodyDiv w:val="1"/>
      <w:marLeft w:val="0"/>
      <w:marRight w:val="0"/>
      <w:marTop w:val="0"/>
      <w:marBottom w:val="0"/>
      <w:divBdr>
        <w:top w:val="none" w:sz="0" w:space="0" w:color="auto"/>
        <w:left w:val="none" w:sz="0" w:space="0" w:color="auto"/>
        <w:bottom w:val="none" w:sz="0" w:space="0" w:color="auto"/>
        <w:right w:val="none" w:sz="0" w:space="0" w:color="auto"/>
      </w:divBdr>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
    <w:div w:id="1945963483">
      <w:bodyDiv w:val="1"/>
      <w:marLeft w:val="0"/>
      <w:marRight w:val="0"/>
      <w:marTop w:val="0"/>
      <w:marBottom w:val="0"/>
      <w:divBdr>
        <w:top w:val="none" w:sz="0" w:space="0" w:color="auto"/>
        <w:left w:val="none" w:sz="0" w:space="0" w:color="auto"/>
        <w:bottom w:val="none" w:sz="0" w:space="0" w:color="auto"/>
        <w:right w:val="none" w:sz="0" w:space="0" w:color="auto"/>
      </w:divBdr>
    </w:div>
    <w:div w:id="1973947316">
      <w:bodyDiv w:val="1"/>
      <w:marLeft w:val="0"/>
      <w:marRight w:val="0"/>
      <w:marTop w:val="0"/>
      <w:marBottom w:val="0"/>
      <w:divBdr>
        <w:top w:val="none" w:sz="0" w:space="0" w:color="auto"/>
        <w:left w:val="none" w:sz="0" w:space="0" w:color="auto"/>
        <w:bottom w:val="none" w:sz="0" w:space="0" w:color="auto"/>
        <w:right w:val="none" w:sz="0" w:space="0" w:color="auto"/>
      </w:divBdr>
    </w:div>
    <w:div w:id="1987585240">
      <w:bodyDiv w:val="1"/>
      <w:marLeft w:val="0"/>
      <w:marRight w:val="0"/>
      <w:marTop w:val="0"/>
      <w:marBottom w:val="0"/>
      <w:divBdr>
        <w:top w:val="none" w:sz="0" w:space="0" w:color="auto"/>
        <w:left w:val="none" w:sz="0" w:space="0" w:color="auto"/>
        <w:bottom w:val="none" w:sz="0" w:space="0" w:color="auto"/>
        <w:right w:val="none" w:sz="0" w:space="0" w:color="auto"/>
      </w:divBdr>
    </w:div>
    <w:div w:id="1991136217">
      <w:bodyDiv w:val="1"/>
      <w:marLeft w:val="0"/>
      <w:marRight w:val="0"/>
      <w:marTop w:val="0"/>
      <w:marBottom w:val="0"/>
      <w:divBdr>
        <w:top w:val="none" w:sz="0" w:space="0" w:color="auto"/>
        <w:left w:val="none" w:sz="0" w:space="0" w:color="auto"/>
        <w:bottom w:val="none" w:sz="0" w:space="0" w:color="auto"/>
        <w:right w:val="none" w:sz="0" w:space="0" w:color="auto"/>
      </w:divBdr>
    </w:div>
    <w:div w:id="2002004219">
      <w:bodyDiv w:val="1"/>
      <w:marLeft w:val="0"/>
      <w:marRight w:val="0"/>
      <w:marTop w:val="0"/>
      <w:marBottom w:val="0"/>
      <w:divBdr>
        <w:top w:val="none" w:sz="0" w:space="0" w:color="auto"/>
        <w:left w:val="none" w:sz="0" w:space="0" w:color="auto"/>
        <w:bottom w:val="none" w:sz="0" w:space="0" w:color="auto"/>
        <w:right w:val="none" w:sz="0" w:space="0" w:color="auto"/>
      </w:divBdr>
    </w:div>
    <w:div w:id="2036729703">
      <w:bodyDiv w:val="1"/>
      <w:marLeft w:val="0"/>
      <w:marRight w:val="0"/>
      <w:marTop w:val="0"/>
      <w:marBottom w:val="0"/>
      <w:divBdr>
        <w:top w:val="none" w:sz="0" w:space="0" w:color="auto"/>
        <w:left w:val="none" w:sz="0" w:space="0" w:color="auto"/>
        <w:bottom w:val="none" w:sz="0" w:space="0" w:color="auto"/>
        <w:right w:val="none" w:sz="0" w:space="0" w:color="auto"/>
      </w:divBdr>
    </w:div>
    <w:div w:id="2038848618">
      <w:bodyDiv w:val="1"/>
      <w:marLeft w:val="0"/>
      <w:marRight w:val="0"/>
      <w:marTop w:val="0"/>
      <w:marBottom w:val="0"/>
      <w:divBdr>
        <w:top w:val="none" w:sz="0" w:space="0" w:color="auto"/>
        <w:left w:val="none" w:sz="0" w:space="0" w:color="auto"/>
        <w:bottom w:val="none" w:sz="0" w:space="0" w:color="auto"/>
        <w:right w:val="none" w:sz="0" w:space="0" w:color="auto"/>
      </w:divBdr>
    </w:div>
    <w:div w:id="2057657321">
      <w:bodyDiv w:val="1"/>
      <w:marLeft w:val="0"/>
      <w:marRight w:val="0"/>
      <w:marTop w:val="0"/>
      <w:marBottom w:val="0"/>
      <w:divBdr>
        <w:top w:val="none" w:sz="0" w:space="0" w:color="auto"/>
        <w:left w:val="none" w:sz="0" w:space="0" w:color="auto"/>
        <w:bottom w:val="none" w:sz="0" w:space="0" w:color="auto"/>
        <w:right w:val="none" w:sz="0" w:space="0" w:color="auto"/>
      </w:divBdr>
    </w:div>
    <w:div w:id="2059161963">
      <w:bodyDiv w:val="1"/>
      <w:marLeft w:val="0"/>
      <w:marRight w:val="0"/>
      <w:marTop w:val="0"/>
      <w:marBottom w:val="0"/>
      <w:divBdr>
        <w:top w:val="none" w:sz="0" w:space="0" w:color="auto"/>
        <w:left w:val="none" w:sz="0" w:space="0" w:color="auto"/>
        <w:bottom w:val="none" w:sz="0" w:space="0" w:color="auto"/>
        <w:right w:val="none" w:sz="0" w:space="0" w:color="auto"/>
      </w:divBdr>
    </w:div>
    <w:div w:id="21469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szubert@mansfield.gov.uk" TargetMode="External"/><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mailto:efrith@mansfield.gov.uk" TargetMode="External"/><Relationship Id="rId17" Type="http://schemas.openxmlformats.org/officeDocument/2006/relationships/image" Target="media/image7.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efrith@mansfiel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yperlink" Target="mailto:mpemberton@mansfield.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10.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E29E-56CD-488E-9AAE-D2066C69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0</TotalTime>
  <Pages>34</Pages>
  <Words>7973</Words>
  <Characters>45452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53319</CharactersWithSpaces>
  <SharedDoc>false</SharedDoc>
  <HLinks>
    <vt:vector size="6" baseType="variant">
      <vt:variant>
        <vt:i4>4063325</vt:i4>
      </vt:variant>
      <vt:variant>
        <vt:i4>0</vt:i4>
      </vt:variant>
      <vt:variant>
        <vt:i4>0</vt:i4>
      </vt:variant>
      <vt:variant>
        <vt:i4>5</vt:i4>
      </vt:variant>
      <vt:variant>
        <vt:lpwstr>mailto:eszubert@mansfield.gov.uk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Mark Pemberton</cp:lastModifiedBy>
  <cp:revision>3</cp:revision>
  <cp:lastPrinted>2022-10-19T16:08:00Z</cp:lastPrinted>
  <dcterms:created xsi:type="dcterms:W3CDTF">2023-01-16T15:41:00Z</dcterms:created>
  <dcterms:modified xsi:type="dcterms:W3CDTF">2023-01-17T10:46:00Z</dcterms:modified>
</cp:coreProperties>
</file>